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E8A5AD">
      <w:pPr>
        <w:pStyle w:val="3"/>
        <w:tabs>
          <w:tab w:val="left" w:pos="1286"/>
        </w:tabs>
        <w:snapToGrid w:val="0"/>
        <w:spacing w:before="21" w:line="240" w:lineRule="auto"/>
        <w:jc w:val="left"/>
        <w:textAlignment w:val="baseline"/>
        <w:rPr>
          <w:rFonts w:hint="default"/>
          <w:lang w:val="en-US" w:eastAsia="zh-CN"/>
        </w:rPr>
      </w:pPr>
      <w:bookmarkStart w:id="0" w:name="_Toc20081"/>
      <w:r>
        <w:rPr>
          <w:rFonts w:hint="eastAsia" w:ascii="黑体" w:hAnsi="黑体" w:eastAsia="黑体" w:cs="黑体"/>
          <w:color w:val="auto"/>
          <w:sz w:val="28"/>
          <w:szCs w:val="28"/>
          <w:highlight w:val="none"/>
          <w:lang w:val="en-US" w:eastAsia="zh-CN"/>
        </w:rPr>
        <w:t>附件3</w:t>
      </w:r>
    </w:p>
    <w:p w14:paraId="729BE3F2">
      <w:pPr>
        <w:pStyle w:val="3"/>
        <w:tabs>
          <w:tab w:val="left" w:pos="1286"/>
        </w:tabs>
        <w:snapToGrid w:val="0"/>
        <w:spacing w:before="21" w:line="240" w:lineRule="auto"/>
        <w:textAlignment w:val="baseline"/>
        <w:rPr>
          <w:rFonts w:hint="eastAsia"/>
          <w:b/>
          <w:color w:val="auto"/>
          <w:sz w:val="36"/>
          <w:szCs w:val="36"/>
          <w:highlight w:val="none"/>
          <w:lang w:val="en-US"/>
        </w:rPr>
      </w:pPr>
      <w:r>
        <w:rPr>
          <w:rFonts w:hint="eastAsia" w:ascii="黑体" w:hAnsi="黑体" w:eastAsia="黑体" w:cs="黑体"/>
          <w:color w:val="auto"/>
          <w:sz w:val="44"/>
          <w:szCs w:val="44"/>
          <w:highlight w:val="none"/>
        </w:rPr>
        <w:t>评标办法</w:t>
      </w:r>
      <w:bookmarkEnd w:id="0"/>
      <w:bookmarkStart w:id="1" w:name="_Toc11870"/>
    </w:p>
    <w:p w14:paraId="25C835A9">
      <w:pPr>
        <w:snapToGrid w:val="0"/>
        <w:spacing w:line="460" w:lineRule="exact"/>
        <w:ind w:firstLine="482" w:firstLineChars="200"/>
        <w:jc w:val="both"/>
        <w:textAlignment w:val="baseline"/>
        <w:rPr>
          <w:b/>
          <w:color w:val="auto"/>
          <w:sz w:val="24"/>
          <w:szCs w:val="24"/>
          <w:highlight w:val="none"/>
          <w:lang w:val="en-US"/>
        </w:rPr>
      </w:pPr>
      <w:r>
        <w:rPr>
          <w:rFonts w:hint="eastAsia"/>
          <w:b/>
          <w:color w:val="auto"/>
          <w:sz w:val="24"/>
          <w:szCs w:val="24"/>
          <w:highlight w:val="none"/>
          <w:lang w:val="en-US"/>
        </w:rPr>
        <w:t>1.资格评审标准</w:t>
      </w:r>
      <w:bookmarkEnd w:id="1"/>
    </w:p>
    <w:p w14:paraId="7719C645">
      <w:pPr>
        <w:pStyle w:val="4"/>
        <w:snapToGrid w:val="0"/>
        <w:spacing w:line="460" w:lineRule="exact"/>
        <w:ind w:firstLine="448" w:firstLineChars="200"/>
        <w:jc w:val="both"/>
        <w:textAlignment w:val="baseline"/>
        <w:rPr>
          <w:color w:val="auto"/>
          <w:sz w:val="24"/>
          <w:szCs w:val="24"/>
          <w:highlight w:val="none"/>
        </w:rPr>
      </w:pPr>
      <w:r>
        <w:rPr>
          <w:rFonts w:hint="eastAsia"/>
          <w:color w:val="auto"/>
          <w:spacing w:val="-8"/>
          <w:sz w:val="24"/>
          <w:szCs w:val="24"/>
          <w:highlight w:val="none"/>
        </w:rPr>
        <w:t>本项目采取资格后审合格/不合格制</w:t>
      </w:r>
      <w:r>
        <w:rPr>
          <w:rFonts w:hint="eastAsia"/>
          <w:color w:val="auto"/>
          <w:sz w:val="24"/>
          <w:szCs w:val="24"/>
          <w:highlight w:val="none"/>
        </w:rPr>
        <w:t>。投标人提供的全部资料必须准确详细，以便本项目评标委员会做到正确判断。资格后审将完全依据投标人提供的资料，或者按评委要求对所投标文件的澄清材料。如果没按要求在投标文件中提供具体材料，如有一项认为不合格，报评标委员会审定后，可直接判定投标人资格不合格，其投标文件不予评审。</w:t>
      </w:r>
    </w:p>
    <w:p w14:paraId="76E4248A">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资格后审合格条件标准</w:t>
      </w:r>
    </w:p>
    <w:tbl>
      <w:tblPr>
        <w:tblStyle w:val="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5"/>
        <w:gridCol w:w="6995"/>
        <w:gridCol w:w="1140"/>
      </w:tblGrid>
      <w:tr w14:paraId="30B4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300" w:type="dxa"/>
            <w:gridSpan w:val="3"/>
            <w:vAlign w:val="center"/>
          </w:tcPr>
          <w:p w14:paraId="74630286">
            <w:pPr>
              <w:pStyle w:val="7"/>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一、资格审查</w:t>
            </w:r>
          </w:p>
        </w:tc>
      </w:tr>
      <w:tr w14:paraId="1397B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6ACA50C">
            <w:pPr>
              <w:pStyle w:val="7"/>
              <w:snapToGrid w:val="0"/>
              <w:spacing w:line="460" w:lineRule="exact"/>
              <w:jc w:val="center"/>
              <w:textAlignment w:val="baseline"/>
              <w:rPr>
                <w:b/>
                <w:color w:val="auto"/>
                <w:sz w:val="24"/>
                <w:szCs w:val="24"/>
                <w:highlight w:val="none"/>
              </w:rPr>
            </w:pPr>
            <w:r>
              <w:rPr>
                <w:rFonts w:hint="eastAsia"/>
                <w:b/>
                <w:color w:val="auto"/>
                <w:sz w:val="24"/>
                <w:szCs w:val="24"/>
                <w:highlight w:val="none"/>
              </w:rPr>
              <w:t>序号</w:t>
            </w:r>
          </w:p>
        </w:tc>
        <w:tc>
          <w:tcPr>
            <w:tcW w:w="6995" w:type="dxa"/>
            <w:vAlign w:val="center"/>
          </w:tcPr>
          <w:p w14:paraId="359662FD">
            <w:pPr>
              <w:pStyle w:val="7"/>
              <w:snapToGrid w:val="0"/>
              <w:spacing w:line="460" w:lineRule="exact"/>
              <w:jc w:val="both"/>
              <w:textAlignment w:val="baseline"/>
              <w:rPr>
                <w:b/>
                <w:color w:val="auto"/>
                <w:sz w:val="24"/>
                <w:szCs w:val="24"/>
                <w:highlight w:val="none"/>
              </w:rPr>
            </w:pPr>
            <w:r>
              <w:rPr>
                <w:rFonts w:hint="eastAsia"/>
                <w:b/>
                <w:color w:val="auto"/>
                <w:sz w:val="24"/>
                <w:szCs w:val="24"/>
                <w:highlight w:val="none"/>
              </w:rPr>
              <w:t>招标文件要求</w:t>
            </w:r>
          </w:p>
        </w:tc>
        <w:tc>
          <w:tcPr>
            <w:tcW w:w="1140" w:type="dxa"/>
            <w:vAlign w:val="center"/>
          </w:tcPr>
          <w:p w14:paraId="1AA4B20D">
            <w:pPr>
              <w:pStyle w:val="7"/>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说明</w:t>
            </w:r>
          </w:p>
        </w:tc>
      </w:tr>
      <w:tr w14:paraId="1DD9E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3E5AEF05">
            <w:pPr>
              <w:pStyle w:val="7"/>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1</w:t>
            </w:r>
          </w:p>
        </w:tc>
        <w:tc>
          <w:tcPr>
            <w:tcW w:w="6995" w:type="dxa"/>
          </w:tcPr>
          <w:p w14:paraId="4A4005C0">
            <w:pPr>
              <w:pStyle w:val="8"/>
              <w:snapToGrid w:val="0"/>
              <w:spacing w:line="460" w:lineRule="exact"/>
              <w:ind w:left="0" w:firstLine="0"/>
              <w:jc w:val="both"/>
              <w:textAlignment w:val="baseline"/>
              <w:rPr>
                <w:color w:val="auto"/>
                <w:sz w:val="24"/>
                <w:szCs w:val="24"/>
                <w:highlight w:val="none"/>
              </w:rPr>
            </w:pPr>
            <w:r>
              <w:rPr>
                <w:rFonts w:hint="eastAsia"/>
                <w:color w:val="auto"/>
                <w:sz w:val="24"/>
                <w:szCs w:val="24"/>
                <w:highlight w:val="none"/>
              </w:rPr>
              <w:t>投标人必须在中华人民共和国境内注册，具有有效的法人营业执照、税务登记证、组织机构代码证（或三证合一）。</w:t>
            </w:r>
          </w:p>
        </w:tc>
        <w:tc>
          <w:tcPr>
            <w:tcW w:w="1140" w:type="dxa"/>
            <w:vMerge w:val="restart"/>
            <w:vAlign w:val="center"/>
          </w:tcPr>
          <w:p w14:paraId="1A8359C1">
            <w:pPr>
              <w:pStyle w:val="7"/>
              <w:snapToGrid w:val="0"/>
              <w:spacing w:line="460" w:lineRule="exact"/>
              <w:jc w:val="both"/>
              <w:textAlignment w:val="baseline"/>
              <w:rPr>
                <w:color w:val="auto"/>
                <w:sz w:val="24"/>
                <w:szCs w:val="24"/>
                <w:highlight w:val="none"/>
              </w:rPr>
            </w:pPr>
            <w:r>
              <w:rPr>
                <w:rFonts w:hint="eastAsia"/>
                <w:color w:val="auto"/>
                <w:sz w:val="24"/>
                <w:szCs w:val="24"/>
                <w:highlight w:val="none"/>
              </w:rPr>
              <w:t>提供扫描件，凡有一条不符合招标要求的，其投标文件将被否决。</w:t>
            </w:r>
          </w:p>
          <w:p w14:paraId="34DBCCF3">
            <w:pPr>
              <w:pStyle w:val="7"/>
              <w:snapToGrid w:val="0"/>
              <w:spacing w:line="460" w:lineRule="exact"/>
              <w:ind w:firstLine="480" w:firstLineChars="200"/>
              <w:jc w:val="both"/>
              <w:textAlignment w:val="baseline"/>
              <w:rPr>
                <w:color w:val="auto"/>
                <w:sz w:val="24"/>
                <w:szCs w:val="24"/>
                <w:highlight w:val="none"/>
              </w:rPr>
            </w:pPr>
          </w:p>
        </w:tc>
      </w:tr>
      <w:tr w14:paraId="5EDC8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1C1221DD">
            <w:pPr>
              <w:pStyle w:val="7"/>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2</w:t>
            </w:r>
          </w:p>
        </w:tc>
        <w:tc>
          <w:tcPr>
            <w:tcW w:w="6995" w:type="dxa"/>
          </w:tcPr>
          <w:p w14:paraId="4B589FD7">
            <w:pPr>
              <w:pStyle w:val="8"/>
              <w:snapToGrid w:val="0"/>
              <w:spacing w:line="460" w:lineRule="exact"/>
              <w:ind w:left="0" w:firstLine="0"/>
              <w:jc w:val="both"/>
              <w:textAlignment w:val="baseline"/>
              <w:rPr>
                <w:color w:val="auto"/>
                <w:sz w:val="24"/>
                <w:szCs w:val="24"/>
                <w:highlight w:val="none"/>
              </w:rPr>
            </w:pPr>
            <w:r>
              <w:rPr>
                <w:color w:val="auto"/>
                <w:sz w:val="24"/>
                <w:szCs w:val="24"/>
                <w:highlight w:val="none"/>
                <w:lang w:val="en-US"/>
              </w:rPr>
              <w:tab/>
            </w:r>
            <w:r>
              <w:rPr>
                <w:rFonts w:hint="eastAsia"/>
                <w:sz w:val="24"/>
                <w:szCs w:val="24"/>
                <w:highlight w:val="none"/>
                <w:lang w:val="en-US"/>
              </w:rPr>
              <w:t>近三年至少完成过1项标识标牌或美陈布展类物料采购项目业绩</w:t>
            </w:r>
          </w:p>
        </w:tc>
        <w:tc>
          <w:tcPr>
            <w:tcW w:w="1140" w:type="dxa"/>
            <w:vMerge w:val="continue"/>
          </w:tcPr>
          <w:p w14:paraId="4394325A">
            <w:pPr>
              <w:pStyle w:val="7"/>
              <w:snapToGrid w:val="0"/>
              <w:spacing w:line="460" w:lineRule="exact"/>
              <w:ind w:firstLine="482" w:firstLineChars="200"/>
              <w:jc w:val="both"/>
              <w:textAlignment w:val="baseline"/>
              <w:rPr>
                <w:b/>
                <w:color w:val="auto"/>
                <w:sz w:val="24"/>
                <w:szCs w:val="24"/>
                <w:highlight w:val="none"/>
              </w:rPr>
            </w:pPr>
          </w:p>
        </w:tc>
      </w:tr>
      <w:tr w14:paraId="0266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435FF69">
            <w:pPr>
              <w:pStyle w:val="7"/>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3</w:t>
            </w:r>
          </w:p>
        </w:tc>
        <w:tc>
          <w:tcPr>
            <w:tcW w:w="6995" w:type="dxa"/>
          </w:tcPr>
          <w:p w14:paraId="538CEFF1">
            <w:pPr>
              <w:pStyle w:val="7"/>
              <w:snapToGrid w:val="0"/>
              <w:spacing w:line="460" w:lineRule="exact"/>
              <w:jc w:val="both"/>
              <w:textAlignment w:val="baseline"/>
              <w:rPr>
                <w:color w:val="auto"/>
                <w:sz w:val="24"/>
                <w:szCs w:val="24"/>
                <w:highlight w:val="none"/>
              </w:rPr>
            </w:pPr>
            <w:r>
              <w:rPr>
                <w:rFonts w:hint="eastAsia"/>
                <w:color w:val="auto"/>
                <w:sz w:val="24"/>
                <w:szCs w:val="24"/>
                <w:highlight w:val="none"/>
                <w:lang w:val="en-US"/>
              </w:rPr>
              <w:t>根据《关于在招标投标活动中对失信被执行人实施联合惩戒的通知》([2016]285 号)规定，投标人须通过“信用中国”(网址 www.creditchina.gov.cn)对本企业进行信用查询，若在“失信被执行人”名单中的，其投标无效，查询结果以当天在“信用中国”网站查询结果为准。</w:t>
            </w:r>
          </w:p>
        </w:tc>
        <w:tc>
          <w:tcPr>
            <w:tcW w:w="1140" w:type="dxa"/>
            <w:vMerge w:val="continue"/>
          </w:tcPr>
          <w:p w14:paraId="06467947">
            <w:pPr>
              <w:pStyle w:val="7"/>
              <w:snapToGrid w:val="0"/>
              <w:spacing w:line="460" w:lineRule="exact"/>
              <w:ind w:firstLine="480" w:firstLineChars="200"/>
              <w:jc w:val="both"/>
              <w:textAlignment w:val="baseline"/>
              <w:rPr>
                <w:color w:val="auto"/>
                <w:sz w:val="24"/>
                <w:szCs w:val="24"/>
                <w:highlight w:val="none"/>
              </w:rPr>
            </w:pPr>
          </w:p>
        </w:tc>
      </w:tr>
      <w:tr w14:paraId="0732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24B52985">
            <w:pPr>
              <w:pStyle w:val="7"/>
              <w:snapToGrid w:val="0"/>
              <w:spacing w:line="460" w:lineRule="exact"/>
              <w:jc w:val="center"/>
              <w:textAlignment w:val="baseline"/>
              <w:rPr>
                <w:color w:val="auto"/>
                <w:sz w:val="24"/>
                <w:szCs w:val="24"/>
                <w:highlight w:val="none"/>
                <w:lang w:val="en-US"/>
              </w:rPr>
            </w:pPr>
            <w:r>
              <w:rPr>
                <w:rFonts w:hint="eastAsia"/>
                <w:color w:val="auto"/>
                <w:sz w:val="24"/>
                <w:szCs w:val="24"/>
                <w:highlight w:val="none"/>
                <w:lang w:val="en-US"/>
              </w:rPr>
              <w:t>4</w:t>
            </w:r>
          </w:p>
        </w:tc>
        <w:tc>
          <w:tcPr>
            <w:tcW w:w="6995" w:type="dxa"/>
          </w:tcPr>
          <w:p w14:paraId="48F614CA">
            <w:pPr>
              <w:pStyle w:val="7"/>
              <w:snapToGrid w:val="0"/>
              <w:spacing w:line="460" w:lineRule="exact"/>
              <w:jc w:val="both"/>
              <w:textAlignment w:val="baseline"/>
              <w:rPr>
                <w:color w:val="auto"/>
                <w:sz w:val="24"/>
                <w:szCs w:val="24"/>
                <w:highlight w:val="none"/>
                <w:lang w:val="en-US"/>
              </w:rPr>
            </w:pPr>
            <w:r>
              <w:rPr>
                <w:rFonts w:hint="eastAsia"/>
                <w:color w:val="auto"/>
                <w:sz w:val="24"/>
                <w:szCs w:val="24"/>
                <w:highlight w:val="none"/>
              </w:rPr>
              <w:t>投标人必须在</w:t>
            </w:r>
            <w:r>
              <w:rPr>
                <w:rFonts w:hint="eastAsia"/>
                <w:color w:val="auto"/>
                <w:sz w:val="24"/>
                <w:szCs w:val="24"/>
                <w:highlight w:val="none"/>
                <w:lang w:val="en-US"/>
              </w:rPr>
              <w:t>“</w:t>
            </w:r>
            <w:r>
              <w:rPr>
                <w:rFonts w:hint="eastAsia"/>
                <w:color w:val="auto"/>
                <w:sz w:val="24"/>
                <w:szCs w:val="24"/>
                <w:highlight w:val="none"/>
              </w:rPr>
              <w:t>中国裁判文书网</w:t>
            </w:r>
            <w:r>
              <w:rPr>
                <w:rFonts w:hint="eastAsia"/>
                <w:color w:val="auto"/>
                <w:sz w:val="24"/>
                <w:szCs w:val="24"/>
                <w:highlight w:val="none"/>
                <w:lang w:val="en-US"/>
              </w:rPr>
              <w:t>”（https://wenshu.court.gov.cn/）</w:t>
            </w:r>
            <w:r>
              <w:rPr>
                <w:rFonts w:hint="eastAsia"/>
                <w:color w:val="auto"/>
                <w:sz w:val="24"/>
                <w:szCs w:val="24"/>
                <w:highlight w:val="none"/>
              </w:rPr>
              <w:t>查询本单位及法定代表人近三年</w:t>
            </w:r>
            <w:r>
              <w:rPr>
                <w:rFonts w:hint="eastAsia"/>
                <w:color w:val="auto"/>
                <w:sz w:val="24"/>
                <w:szCs w:val="24"/>
                <w:highlight w:val="none"/>
                <w:lang w:val="en-US"/>
              </w:rPr>
              <w:t>(</w:t>
            </w:r>
            <w:r>
              <w:rPr>
                <w:rFonts w:hint="eastAsia"/>
                <w:color w:val="auto"/>
                <w:sz w:val="24"/>
                <w:szCs w:val="24"/>
                <w:highlight w:val="none"/>
              </w:rPr>
              <w:t>查询时间段</w:t>
            </w:r>
            <w:r>
              <w:rPr>
                <w:rFonts w:hint="eastAsia"/>
                <w:color w:val="auto"/>
                <w:sz w:val="24"/>
                <w:szCs w:val="24"/>
                <w:highlight w:val="none"/>
                <w:lang w:val="en-US"/>
              </w:rPr>
              <w:t>20</w:t>
            </w:r>
            <w:r>
              <w:rPr>
                <w:rFonts w:hint="eastAsia"/>
                <w:color w:val="auto"/>
                <w:sz w:val="24"/>
                <w:szCs w:val="24"/>
                <w:highlight w:val="none"/>
                <w:lang w:val="en-US" w:eastAsia="zh-CN"/>
              </w:rPr>
              <w:t>22</w:t>
            </w:r>
            <w:r>
              <w:rPr>
                <w:rFonts w:hint="eastAsia"/>
                <w:color w:val="auto"/>
                <w:sz w:val="24"/>
                <w:szCs w:val="24"/>
                <w:highlight w:val="none"/>
              </w:rPr>
              <w:t>年</w:t>
            </w:r>
            <w:r>
              <w:rPr>
                <w:rFonts w:hint="eastAsia"/>
                <w:color w:val="auto"/>
                <w:sz w:val="24"/>
                <w:szCs w:val="24"/>
                <w:highlight w:val="none"/>
                <w:lang w:val="en-US"/>
              </w:rPr>
              <w:t>1月</w:t>
            </w:r>
            <w:r>
              <w:rPr>
                <w:rFonts w:hint="eastAsia"/>
                <w:color w:val="auto"/>
                <w:sz w:val="24"/>
                <w:szCs w:val="24"/>
                <w:highlight w:val="none"/>
              </w:rPr>
              <w:t>至投标截止日</w:t>
            </w:r>
            <w:r>
              <w:rPr>
                <w:rFonts w:hint="eastAsia"/>
                <w:color w:val="auto"/>
                <w:sz w:val="24"/>
                <w:szCs w:val="24"/>
                <w:highlight w:val="none"/>
                <w:lang w:val="en-US"/>
              </w:rPr>
              <w:t>)</w:t>
            </w:r>
            <w:r>
              <w:rPr>
                <w:rFonts w:hint="eastAsia"/>
                <w:color w:val="auto"/>
                <w:sz w:val="24"/>
                <w:szCs w:val="24"/>
                <w:highlight w:val="none"/>
              </w:rPr>
              <w:t>是否有行贿犯罪记录并提供截图</w:t>
            </w:r>
            <w:r>
              <w:rPr>
                <w:rFonts w:hint="eastAsia"/>
                <w:color w:val="auto"/>
                <w:sz w:val="24"/>
                <w:szCs w:val="24"/>
                <w:highlight w:val="none"/>
                <w:lang w:val="en-US"/>
              </w:rPr>
              <w:t>，</w:t>
            </w:r>
            <w:r>
              <w:rPr>
                <w:rFonts w:hint="eastAsia"/>
                <w:color w:val="auto"/>
                <w:sz w:val="24"/>
                <w:szCs w:val="24"/>
                <w:highlight w:val="none"/>
              </w:rPr>
              <w:t>未提供的或有行贿犯罪记录的投标无效</w:t>
            </w:r>
            <w:r>
              <w:rPr>
                <w:rFonts w:hint="eastAsia"/>
                <w:color w:val="auto"/>
                <w:sz w:val="24"/>
                <w:szCs w:val="24"/>
                <w:highlight w:val="none"/>
                <w:lang w:val="en-US"/>
              </w:rPr>
              <w:t>，</w:t>
            </w:r>
            <w:r>
              <w:rPr>
                <w:rFonts w:hint="eastAsia"/>
                <w:color w:val="auto"/>
                <w:sz w:val="24"/>
                <w:szCs w:val="24"/>
                <w:highlight w:val="none"/>
              </w:rPr>
              <w:t>取消其投标资格。</w:t>
            </w:r>
          </w:p>
        </w:tc>
        <w:tc>
          <w:tcPr>
            <w:tcW w:w="1140" w:type="dxa"/>
            <w:vMerge w:val="continue"/>
          </w:tcPr>
          <w:p w14:paraId="4745DAE1">
            <w:pPr>
              <w:pStyle w:val="7"/>
              <w:snapToGrid w:val="0"/>
              <w:spacing w:line="460" w:lineRule="exact"/>
              <w:ind w:firstLine="480" w:firstLineChars="200"/>
              <w:jc w:val="both"/>
              <w:textAlignment w:val="baseline"/>
              <w:rPr>
                <w:color w:val="auto"/>
                <w:sz w:val="24"/>
                <w:szCs w:val="24"/>
                <w:highlight w:val="none"/>
                <w:lang w:val="en-US"/>
              </w:rPr>
            </w:pPr>
          </w:p>
        </w:tc>
      </w:tr>
      <w:tr w14:paraId="2AED1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65" w:type="dxa"/>
            <w:vAlign w:val="center"/>
          </w:tcPr>
          <w:p w14:paraId="613662F1">
            <w:pPr>
              <w:pStyle w:val="7"/>
              <w:snapToGrid w:val="0"/>
              <w:spacing w:line="460" w:lineRule="exact"/>
              <w:ind w:firstLine="480" w:firstLineChars="200"/>
              <w:jc w:val="both"/>
              <w:textAlignment w:val="baseline"/>
              <w:rPr>
                <w:color w:val="auto"/>
                <w:sz w:val="24"/>
                <w:szCs w:val="24"/>
                <w:highlight w:val="none"/>
                <w:lang w:val="en-US"/>
              </w:rPr>
            </w:pPr>
            <w:r>
              <w:rPr>
                <w:rFonts w:hint="eastAsia"/>
                <w:color w:val="auto"/>
                <w:sz w:val="24"/>
                <w:szCs w:val="24"/>
                <w:highlight w:val="none"/>
                <w:lang w:val="en-US"/>
              </w:rPr>
              <w:t>5</w:t>
            </w:r>
          </w:p>
        </w:tc>
        <w:tc>
          <w:tcPr>
            <w:tcW w:w="6995" w:type="dxa"/>
          </w:tcPr>
          <w:p w14:paraId="19D16AD9">
            <w:pPr>
              <w:pStyle w:val="7"/>
              <w:snapToGrid w:val="0"/>
              <w:spacing w:line="460" w:lineRule="exact"/>
              <w:jc w:val="both"/>
              <w:textAlignment w:val="baseline"/>
              <w:rPr>
                <w:color w:val="auto"/>
                <w:sz w:val="24"/>
                <w:szCs w:val="24"/>
                <w:highlight w:val="none"/>
              </w:rPr>
            </w:pPr>
            <w:r>
              <w:rPr>
                <w:rFonts w:hint="eastAsia"/>
                <w:color w:val="auto"/>
                <w:sz w:val="24"/>
                <w:szCs w:val="24"/>
                <w:highlight w:val="none"/>
              </w:rPr>
              <w:t>是否有招标人不能接受的其他条款</w:t>
            </w:r>
          </w:p>
        </w:tc>
        <w:tc>
          <w:tcPr>
            <w:tcW w:w="1140" w:type="dxa"/>
          </w:tcPr>
          <w:p w14:paraId="3BD8B361">
            <w:pPr>
              <w:pStyle w:val="7"/>
              <w:snapToGrid w:val="0"/>
              <w:spacing w:line="460" w:lineRule="exact"/>
              <w:ind w:firstLine="480" w:firstLineChars="200"/>
              <w:jc w:val="both"/>
              <w:textAlignment w:val="baseline"/>
              <w:rPr>
                <w:color w:val="auto"/>
                <w:sz w:val="24"/>
                <w:szCs w:val="24"/>
                <w:highlight w:val="none"/>
              </w:rPr>
            </w:pPr>
          </w:p>
        </w:tc>
      </w:tr>
    </w:tbl>
    <w:p w14:paraId="30305561">
      <w:pPr>
        <w:pStyle w:val="4"/>
        <w:snapToGrid w:val="0"/>
        <w:spacing w:line="460" w:lineRule="exact"/>
        <w:jc w:val="both"/>
        <w:textAlignment w:val="baseline"/>
        <w:rPr>
          <w:color w:val="auto"/>
          <w:sz w:val="24"/>
          <w:szCs w:val="24"/>
          <w:highlight w:val="none"/>
        </w:rPr>
      </w:pPr>
    </w:p>
    <w:p w14:paraId="06485253">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二、评分办法</w:t>
      </w:r>
    </w:p>
    <w:p w14:paraId="5CE1DF1C">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本次评标采用综合评分法。综合评分法是指评标委员会根据招标文件的要求，对投标人的技术标、商务标、价格部分三部分进行综合评审，经评审后向招标人推荐不超过三名有排序的合格的中标候选人的一种评标办法。</w:t>
      </w:r>
    </w:p>
    <w:p w14:paraId="6A0C6665">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按投标人投标文件送达的先后</w:t>
      </w:r>
      <w:r>
        <w:rPr>
          <w:rFonts w:hint="eastAsia"/>
          <w:color w:val="auto"/>
          <w:sz w:val="24"/>
          <w:szCs w:val="24"/>
          <w:highlight w:val="none"/>
          <w:lang w:val="en-US"/>
        </w:rPr>
        <w:t>顺</w:t>
      </w:r>
      <w:r>
        <w:rPr>
          <w:rFonts w:hint="eastAsia"/>
          <w:color w:val="auto"/>
          <w:sz w:val="24"/>
          <w:szCs w:val="24"/>
          <w:highlight w:val="none"/>
        </w:rPr>
        <w:t>序开标。投标人的投标报价超过招标控制价的为废标。评标委员会将只对通过初步评审的投标文件进行评价和比较。</w:t>
      </w:r>
    </w:p>
    <w:p w14:paraId="5822A51E">
      <w:pPr>
        <w:snapToGrid w:val="0"/>
        <w:spacing w:line="460" w:lineRule="exact"/>
        <w:ind w:firstLine="480" w:firstLineChars="200"/>
        <w:jc w:val="both"/>
        <w:textAlignment w:val="baseline"/>
        <w:rPr>
          <w:color w:val="auto"/>
          <w:sz w:val="24"/>
          <w:szCs w:val="24"/>
          <w:highlight w:val="none"/>
        </w:rPr>
      </w:pPr>
      <w:r>
        <w:rPr>
          <w:rFonts w:hint="eastAsia"/>
          <w:color w:val="auto"/>
          <w:sz w:val="24"/>
          <w:szCs w:val="24"/>
          <w:highlight w:val="none"/>
        </w:rPr>
        <w:t>（一) 评分标准（总分100分）投标的综合得分为：</w:t>
      </w:r>
    </w:p>
    <w:tbl>
      <w:tblPr>
        <w:tblStyle w:val="5"/>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25"/>
        <w:gridCol w:w="1173"/>
        <w:gridCol w:w="765"/>
        <w:gridCol w:w="5988"/>
      </w:tblGrid>
      <w:tr w14:paraId="7875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366" w:type="dxa"/>
            <w:gridSpan w:val="2"/>
          </w:tcPr>
          <w:p w14:paraId="02BEBE21">
            <w:pPr>
              <w:snapToGrid w:val="0"/>
              <w:jc w:val="center"/>
              <w:textAlignment w:val="baseline"/>
              <w:rPr>
                <w:b/>
                <w:bCs/>
                <w:color w:val="auto"/>
                <w:sz w:val="24"/>
                <w:szCs w:val="24"/>
                <w:highlight w:val="none"/>
              </w:rPr>
            </w:pPr>
            <w:r>
              <w:rPr>
                <w:rFonts w:hint="eastAsia"/>
                <w:b/>
                <w:bCs/>
                <w:color w:val="auto"/>
                <w:sz w:val="24"/>
                <w:szCs w:val="24"/>
                <w:highlight w:val="none"/>
              </w:rPr>
              <w:t>条款号</w:t>
            </w:r>
          </w:p>
        </w:tc>
        <w:tc>
          <w:tcPr>
            <w:tcW w:w="1173" w:type="dxa"/>
          </w:tcPr>
          <w:p w14:paraId="01172D1B">
            <w:pPr>
              <w:snapToGrid w:val="0"/>
              <w:jc w:val="center"/>
              <w:textAlignment w:val="baseline"/>
              <w:rPr>
                <w:b/>
                <w:bCs/>
                <w:color w:val="auto"/>
                <w:sz w:val="24"/>
                <w:szCs w:val="24"/>
                <w:highlight w:val="none"/>
              </w:rPr>
            </w:pPr>
            <w:r>
              <w:rPr>
                <w:rFonts w:hint="eastAsia"/>
                <w:b/>
                <w:bCs/>
                <w:color w:val="auto"/>
                <w:sz w:val="24"/>
                <w:szCs w:val="24"/>
                <w:highlight w:val="none"/>
              </w:rPr>
              <w:t>评分因素</w:t>
            </w:r>
          </w:p>
        </w:tc>
        <w:tc>
          <w:tcPr>
            <w:tcW w:w="765" w:type="dxa"/>
          </w:tcPr>
          <w:p w14:paraId="69DE7AA7">
            <w:pPr>
              <w:snapToGrid w:val="0"/>
              <w:jc w:val="center"/>
              <w:textAlignment w:val="baseline"/>
              <w:rPr>
                <w:b/>
                <w:bCs/>
                <w:color w:val="auto"/>
                <w:sz w:val="24"/>
                <w:szCs w:val="24"/>
                <w:highlight w:val="none"/>
              </w:rPr>
            </w:pPr>
            <w:r>
              <w:rPr>
                <w:rFonts w:hint="eastAsia"/>
                <w:b/>
                <w:bCs/>
                <w:color w:val="auto"/>
                <w:sz w:val="24"/>
                <w:szCs w:val="24"/>
                <w:highlight w:val="none"/>
              </w:rPr>
              <w:t>标准分</w:t>
            </w:r>
          </w:p>
        </w:tc>
        <w:tc>
          <w:tcPr>
            <w:tcW w:w="5988" w:type="dxa"/>
          </w:tcPr>
          <w:p w14:paraId="0FDD1A47">
            <w:pPr>
              <w:snapToGrid w:val="0"/>
              <w:jc w:val="center"/>
              <w:textAlignment w:val="baseline"/>
              <w:rPr>
                <w:b/>
                <w:bCs/>
                <w:color w:val="auto"/>
                <w:sz w:val="24"/>
                <w:szCs w:val="24"/>
                <w:highlight w:val="none"/>
              </w:rPr>
            </w:pPr>
            <w:r>
              <w:rPr>
                <w:rFonts w:hint="eastAsia"/>
                <w:b/>
                <w:bCs/>
                <w:color w:val="auto"/>
                <w:sz w:val="24"/>
                <w:szCs w:val="24"/>
                <w:highlight w:val="none"/>
              </w:rPr>
              <w:t>评分标准</w:t>
            </w:r>
          </w:p>
        </w:tc>
      </w:tr>
      <w:tr w14:paraId="6A8D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541" w:type="dxa"/>
            <w:vAlign w:val="center"/>
          </w:tcPr>
          <w:p w14:paraId="2BB40B5C">
            <w:pPr>
              <w:snapToGrid w:val="0"/>
              <w:jc w:val="both"/>
              <w:textAlignment w:val="baseline"/>
              <w:rPr>
                <w:rFonts w:hint="eastAsia"/>
                <w:sz w:val="24"/>
                <w:szCs w:val="24"/>
                <w:highlight w:val="none"/>
              </w:rPr>
            </w:pPr>
          </w:p>
          <w:p w14:paraId="44FC2B85">
            <w:pPr>
              <w:snapToGrid w:val="0"/>
              <w:jc w:val="center"/>
              <w:textAlignment w:val="baseline"/>
              <w:rPr>
                <w:color w:val="auto"/>
                <w:sz w:val="24"/>
                <w:szCs w:val="24"/>
                <w:highlight w:val="none"/>
              </w:rPr>
            </w:pPr>
            <w:r>
              <w:rPr>
                <w:rFonts w:hint="eastAsia"/>
                <w:sz w:val="24"/>
                <w:szCs w:val="24"/>
                <w:highlight w:val="none"/>
              </w:rPr>
              <w:t>1</w:t>
            </w:r>
          </w:p>
        </w:tc>
        <w:tc>
          <w:tcPr>
            <w:tcW w:w="825" w:type="dxa"/>
            <w:vAlign w:val="top"/>
          </w:tcPr>
          <w:p w14:paraId="321331A1">
            <w:pPr>
              <w:snapToGrid w:val="0"/>
              <w:jc w:val="both"/>
              <w:textAlignment w:val="baseline"/>
              <w:rPr>
                <w:rFonts w:hint="eastAsia"/>
                <w:sz w:val="24"/>
                <w:szCs w:val="24"/>
                <w:highlight w:val="none"/>
              </w:rPr>
            </w:pPr>
          </w:p>
          <w:p w14:paraId="5DE91462">
            <w:pPr>
              <w:snapToGrid w:val="0"/>
              <w:jc w:val="center"/>
              <w:textAlignment w:val="baseline"/>
              <w:rPr>
                <w:rFonts w:hint="eastAsia"/>
                <w:color w:val="auto"/>
                <w:sz w:val="24"/>
                <w:szCs w:val="24"/>
                <w:highlight w:val="none"/>
              </w:rPr>
            </w:pPr>
            <w:r>
              <w:rPr>
                <w:rFonts w:hint="eastAsia"/>
                <w:sz w:val="24"/>
                <w:szCs w:val="24"/>
                <w:highlight w:val="none"/>
              </w:rPr>
              <w:t>报价部分（</w:t>
            </w:r>
            <w:r>
              <w:rPr>
                <w:rFonts w:hint="eastAsia"/>
                <w:sz w:val="24"/>
                <w:szCs w:val="24"/>
                <w:highlight w:val="none"/>
                <w:lang w:val="en-US" w:eastAsia="zh-CN"/>
              </w:rPr>
              <w:t>4</w:t>
            </w:r>
            <w:r>
              <w:rPr>
                <w:rFonts w:hint="eastAsia"/>
                <w:sz w:val="24"/>
                <w:szCs w:val="24"/>
                <w:highlight w:val="none"/>
                <w:lang w:val="en-US"/>
              </w:rPr>
              <w:t>0</w:t>
            </w:r>
            <w:r>
              <w:rPr>
                <w:rFonts w:hint="eastAsia"/>
                <w:sz w:val="24"/>
                <w:szCs w:val="24"/>
                <w:highlight w:val="none"/>
              </w:rPr>
              <w:t>）分</w:t>
            </w:r>
          </w:p>
        </w:tc>
        <w:tc>
          <w:tcPr>
            <w:tcW w:w="1173" w:type="dxa"/>
            <w:vAlign w:val="center"/>
          </w:tcPr>
          <w:p w14:paraId="5597CB51">
            <w:pPr>
              <w:snapToGrid w:val="0"/>
              <w:jc w:val="center"/>
              <w:textAlignment w:val="baseline"/>
              <w:rPr>
                <w:rFonts w:hint="eastAsia"/>
                <w:color w:val="auto"/>
                <w:sz w:val="24"/>
                <w:szCs w:val="24"/>
                <w:highlight w:val="none"/>
              </w:rPr>
            </w:pPr>
            <w:r>
              <w:rPr>
                <w:rFonts w:hint="eastAsia"/>
                <w:sz w:val="24"/>
                <w:szCs w:val="24"/>
                <w:highlight w:val="none"/>
              </w:rPr>
              <w:t>投标报价得分</w:t>
            </w:r>
          </w:p>
        </w:tc>
        <w:tc>
          <w:tcPr>
            <w:tcW w:w="765" w:type="dxa"/>
            <w:vAlign w:val="center"/>
          </w:tcPr>
          <w:p w14:paraId="12E8DCCF">
            <w:pPr>
              <w:snapToGrid w:val="0"/>
              <w:jc w:val="center"/>
              <w:textAlignment w:val="baseline"/>
              <w:rPr>
                <w:rFonts w:hint="eastAsia"/>
                <w:color w:val="auto"/>
                <w:sz w:val="24"/>
                <w:szCs w:val="24"/>
                <w:highlight w:val="none"/>
              </w:rPr>
            </w:pPr>
            <w:r>
              <w:rPr>
                <w:rFonts w:hint="eastAsia"/>
                <w:sz w:val="24"/>
                <w:szCs w:val="24"/>
                <w:highlight w:val="none"/>
                <w:lang w:val="en-US" w:eastAsia="zh-CN"/>
              </w:rPr>
              <w:t>4</w:t>
            </w:r>
            <w:r>
              <w:rPr>
                <w:rFonts w:hint="eastAsia"/>
                <w:sz w:val="24"/>
                <w:szCs w:val="24"/>
                <w:highlight w:val="none"/>
              </w:rPr>
              <w:t>0分</w:t>
            </w:r>
          </w:p>
        </w:tc>
        <w:tc>
          <w:tcPr>
            <w:tcW w:w="5988" w:type="dxa"/>
            <w:vAlign w:val="top"/>
          </w:tcPr>
          <w:p w14:paraId="70079239">
            <w:pPr>
              <w:snapToGrid w:val="0"/>
              <w:textAlignment w:val="baseline"/>
              <w:rPr>
                <w:color w:val="auto"/>
                <w:sz w:val="24"/>
                <w:szCs w:val="24"/>
                <w:highlight w:val="none"/>
              </w:rPr>
            </w:pPr>
            <w:r>
              <w:rPr>
                <w:rFonts w:hint="eastAsia"/>
                <w:sz w:val="24"/>
                <w:szCs w:val="24"/>
                <w:highlight w:val="none"/>
              </w:rPr>
              <w:t>基准价为评审合格的投标人投标报价去掉一个最高价、一个最低价的平均值（少于5家的，直接取平均值）。投标人报价比评标基准价每高出1%扣</w:t>
            </w:r>
            <w:r>
              <w:rPr>
                <w:rFonts w:hint="eastAsia"/>
                <w:sz w:val="24"/>
                <w:szCs w:val="24"/>
                <w:highlight w:val="none"/>
                <w:lang w:val="en-US"/>
              </w:rPr>
              <w:t>1</w:t>
            </w:r>
            <w:r>
              <w:rPr>
                <w:rFonts w:hint="eastAsia"/>
                <w:sz w:val="24"/>
                <w:szCs w:val="24"/>
                <w:highlight w:val="none"/>
              </w:rPr>
              <w:t>分，扣完为止；投标人报价比评标基准价每低1%扣0.</w:t>
            </w:r>
            <w:r>
              <w:rPr>
                <w:rFonts w:hint="eastAsia"/>
                <w:sz w:val="24"/>
                <w:szCs w:val="24"/>
                <w:highlight w:val="none"/>
                <w:lang w:val="en-US"/>
              </w:rPr>
              <w:t>5</w:t>
            </w:r>
            <w:r>
              <w:rPr>
                <w:rFonts w:hint="eastAsia"/>
                <w:sz w:val="24"/>
                <w:szCs w:val="24"/>
                <w:highlight w:val="none"/>
              </w:rPr>
              <w:t>分，扣完为止；由此得出各投标人的投标报价得分（保留小数点后两位数字，第三位四舍五入），投标价得分的计算方法：</w:t>
            </w:r>
            <w:r>
              <w:rPr>
                <w:rFonts w:hint="eastAsia"/>
                <w:sz w:val="24"/>
                <w:szCs w:val="24"/>
                <w:highlight w:val="none"/>
                <w:lang w:val="en-US"/>
              </w:rPr>
              <w:t>30</w:t>
            </w:r>
            <w:r>
              <w:rPr>
                <w:rFonts w:hint="eastAsia"/>
                <w:sz w:val="24"/>
                <w:szCs w:val="24"/>
                <w:highlight w:val="none"/>
              </w:rPr>
              <w:t>-丨（评标基准价-投标人报价）/评标基准价丨×100×E，E取值</w:t>
            </w:r>
            <w:r>
              <w:rPr>
                <w:rFonts w:hint="eastAsia"/>
                <w:sz w:val="24"/>
                <w:szCs w:val="24"/>
                <w:highlight w:val="none"/>
                <w:lang w:val="en-US"/>
              </w:rPr>
              <w:t>1</w:t>
            </w:r>
            <w:r>
              <w:rPr>
                <w:rFonts w:hint="eastAsia"/>
                <w:sz w:val="24"/>
                <w:szCs w:val="24"/>
                <w:highlight w:val="none"/>
              </w:rPr>
              <w:t>或</w:t>
            </w:r>
            <w:r>
              <w:rPr>
                <w:rFonts w:hint="eastAsia"/>
                <w:sz w:val="24"/>
                <w:szCs w:val="24"/>
                <w:highlight w:val="none"/>
                <w:lang w:val="en-US"/>
              </w:rPr>
              <w:t>0.5</w:t>
            </w:r>
            <w:r>
              <w:rPr>
                <w:rFonts w:hint="eastAsia"/>
                <w:sz w:val="24"/>
                <w:szCs w:val="24"/>
                <w:highlight w:val="none"/>
              </w:rPr>
              <w:t>。</w:t>
            </w:r>
          </w:p>
        </w:tc>
      </w:tr>
      <w:tr w14:paraId="113CB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541" w:type="dxa"/>
            <w:vMerge w:val="restart"/>
            <w:vAlign w:val="center"/>
          </w:tcPr>
          <w:p w14:paraId="73718425">
            <w:pPr>
              <w:snapToGrid w:val="0"/>
              <w:jc w:val="center"/>
              <w:textAlignment w:val="baseline"/>
              <w:rPr>
                <w:rFonts w:hint="eastAsia"/>
                <w:sz w:val="24"/>
                <w:szCs w:val="24"/>
                <w:highlight w:val="none"/>
              </w:rPr>
            </w:pPr>
          </w:p>
          <w:p w14:paraId="13C5C0F5">
            <w:pPr>
              <w:snapToGrid w:val="0"/>
              <w:jc w:val="center"/>
              <w:textAlignment w:val="baseline"/>
              <w:rPr>
                <w:rFonts w:hint="eastAsia"/>
                <w:sz w:val="24"/>
                <w:szCs w:val="24"/>
                <w:highlight w:val="none"/>
              </w:rPr>
            </w:pPr>
          </w:p>
          <w:p w14:paraId="597E935F">
            <w:pPr>
              <w:snapToGrid w:val="0"/>
              <w:jc w:val="center"/>
              <w:textAlignment w:val="baseline"/>
              <w:rPr>
                <w:rFonts w:hint="eastAsia"/>
                <w:sz w:val="24"/>
                <w:szCs w:val="24"/>
                <w:highlight w:val="none"/>
              </w:rPr>
            </w:pPr>
          </w:p>
          <w:p w14:paraId="1D500A2A">
            <w:pPr>
              <w:snapToGrid w:val="0"/>
              <w:jc w:val="center"/>
              <w:textAlignment w:val="baseline"/>
              <w:rPr>
                <w:color w:val="auto"/>
                <w:sz w:val="24"/>
                <w:szCs w:val="24"/>
                <w:highlight w:val="none"/>
              </w:rPr>
            </w:pPr>
            <w:r>
              <w:rPr>
                <w:rFonts w:hint="eastAsia"/>
                <w:sz w:val="24"/>
                <w:szCs w:val="24"/>
                <w:highlight w:val="none"/>
              </w:rPr>
              <w:t>2</w:t>
            </w:r>
          </w:p>
        </w:tc>
        <w:tc>
          <w:tcPr>
            <w:tcW w:w="825" w:type="dxa"/>
            <w:vAlign w:val="center"/>
          </w:tcPr>
          <w:p w14:paraId="0888BD23">
            <w:pPr>
              <w:snapToGrid w:val="0"/>
              <w:jc w:val="center"/>
              <w:textAlignment w:val="baseline"/>
              <w:rPr>
                <w:rFonts w:hint="eastAsia" w:ascii="宋体" w:hAnsi="宋体" w:eastAsia="宋体" w:cs="宋体"/>
                <w:color w:val="auto"/>
                <w:sz w:val="24"/>
                <w:szCs w:val="24"/>
                <w:highlight w:val="none"/>
                <w:lang w:val="zh-CN" w:eastAsia="zh-CN" w:bidi="zh-CN"/>
              </w:rPr>
            </w:pPr>
            <w:r>
              <w:rPr>
                <w:rFonts w:hint="eastAsia"/>
                <w:sz w:val="24"/>
                <w:szCs w:val="24"/>
                <w:highlight w:val="none"/>
              </w:rPr>
              <w:t>商务标（</w:t>
            </w:r>
            <w:r>
              <w:rPr>
                <w:rFonts w:hint="eastAsia"/>
                <w:sz w:val="24"/>
                <w:szCs w:val="24"/>
                <w:highlight w:val="none"/>
                <w:lang w:val="en-US"/>
              </w:rPr>
              <w:t>2</w:t>
            </w:r>
            <w:r>
              <w:rPr>
                <w:rFonts w:hint="eastAsia"/>
                <w:sz w:val="24"/>
                <w:szCs w:val="24"/>
                <w:highlight w:val="none"/>
                <w:lang w:val="en-US" w:eastAsia="zh-CN"/>
              </w:rPr>
              <w:t>0</w:t>
            </w:r>
            <w:r>
              <w:rPr>
                <w:rFonts w:hint="eastAsia"/>
                <w:sz w:val="24"/>
                <w:szCs w:val="24"/>
                <w:highlight w:val="none"/>
              </w:rPr>
              <w:t>）分</w:t>
            </w:r>
          </w:p>
        </w:tc>
        <w:tc>
          <w:tcPr>
            <w:tcW w:w="1173" w:type="dxa"/>
            <w:vAlign w:val="center"/>
          </w:tcPr>
          <w:p w14:paraId="50331C87">
            <w:pPr>
              <w:snapToGrid w:val="0"/>
              <w:ind w:right="-141" w:rightChars="-64"/>
              <w:jc w:val="center"/>
              <w:textAlignment w:val="baseline"/>
              <w:rPr>
                <w:rFonts w:hint="eastAsia"/>
                <w:sz w:val="24"/>
                <w:szCs w:val="24"/>
                <w:highlight w:val="none"/>
              </w:rPr>
            </w:pPr>
            <w:r>
              <w:rPr>
                <w:rFonts w:hint="eastAsia"/>
                <w:sz w:val="24"/>
                <w:szCs w:val="24"/>
                <w:highlight w:val="none"/>
              </w:rPr>
              <w:t>投标人</w:t>
            </w:r>
          </w:p>
          <w:p w14:paraId="25A3C639">
            <w:pPr>
              <w:snapToGrid w:val="0"/>
              <w:ind w:right="-141" w:rightChars="-64"/>
              <w:jc w:val="center"/>
              <w:textAlignment w:val="baseline"/>
              <w:rPr>
                <w:rFonts w:hint="eastAsia" w:ascii="宋体" w:hAnsi="宋体" w:eastAsia="宋体" w:cs="宋体"/>
                <w:color w:val="auto"/>
                <w:sz w:val="24"/>
                <w:szCs w:val="24"/>
                <w:highlight w:val="none"/>
                <w:lang w:val="zh-CN" w:eastAsia="zh-CN" w:bidi="zh-CN"/>
              </w:rPr>
            </w:pPr>
            <w:r>
              <w:rPr>
                <w:rFonts w:hint="eastAsia"/>
                <w:sz w:val="24"/>
                <w:szCs w:val="24"/>
                <w:highlight w:val="none"/>
              </w:rPr>
              <w:t>业绩</w:t>
            </w:r>
          </w:p>
        </w:tc>
        <w:tc>
          <w:tcPr>
            <w:tcW w:w="765" w:type="dxa"/>
            <w:vAlign w:val="center"/>
          </w:tcPr>
          <w:p w14:paraId="797787EE">
            <w:pPr>
              <w:snapToGrid w:val="0"/>
              <w:jc w:val="center"/>
              <w:textAlignment w:val="baseline"/>
              <w:rPr>
                <w:rFonts w:hint="eastAsia" w:ascii="宋体" w:hAnsi="宋体" w:eastAsia="宋体" w:cs="宋体"/>
                <w:color w:val="auto"/>
                <w:sz w:val="24"/>
                <w:szCs w:val="24"/>
                <w:highlight w:val="none"/>
                <w:lang w:val="en-US" w:eastAsia="zh-CN" w:bidi="zh-CN"/>
              </w:rPr>
            </w:pPr>
            <w:r>
              <w:rPr>
                <w:rFonts w:hint="eastAsia"/>
                <w:sz w:val="24"/>
                <w:szCs w:val="24"/>
                <w:highlight w:val="none"/>
                <w:lang w:val="en-US" w:eastAsia="zh-CN"/>
              </w:rPr>
              <w:t>20</w:t>
            </w:r>
            <w:r>
              <w:rPr>
                <w:rFonts w:hint="eastAsia"/>
                <w:sz w:val="24"/>
                <w:szCs w:val="24"/>
                <w:highlight w:val="none"/>
              </w:rPr>
              <w:t>分</w:t>
            </w:r>
          </w:p>
        </w:tc>
        <w:tc>
          <w:tcPr>
            <w:tcW w:w="5988" w:type="dxa"/>
            <w:vAlign w:val="top"/>
          </w:tcPr>
          <w:p w14:paraId="4EBBA34A">
            <w:pPr>
              <w:snapToGrid w:val="0"/>
              <w:textAlignment w:val="baseline"/>
              <w:rPr>
                <w:color w:val="auto"/>
                <w:sz w:val="24"/>
                <w:szCs w:val="24"/>
                <w:highlight w:val="none"/>
              </w:rPr>
            </w:pPr>
            <w:r>
              <w:rPr>
                <w:rFonts w:hint="eastAsia"/>
                <w:color w:val="auto"/>
                <w:sz w:val="24"/>
                <w:szCs w:val="24"/>
                <w:highlight w:val="none"/>
              </w:rPr>
              <w:t>近3年提供</w:t>
            </w:r>
            <w:r>
              <w:rPr>
                <w:rFonts w:hint="eastAsia"/>
                <w:color w:val="auto"/>
                <w:sz w:val="24"/>
                <w:szCs w:val="24"/>
                <w:highlight w:val="none"/>
                <w:lang w:val="en-US"/>
              </w:rPr>
              <w:t>合同金额在10万元及以上的标识标牌或美陈布展类物料采购项目业绩的</w:t>
            </w:r>
            <w:r>
              <w:rPr>
                <w:rFonts w:hint="eastAsia"/>
                <w:color w:val="auto"/>
                <w:sz w:val="24"/>
                <w:szCs w:val="24"/>
                <w:highlight w:val="none"/>
                <w:lang w:val="en-US" w:eastAsia="zh-CN"/>
              </w:rPr>
              <w:t>，</w:t>
            </w:r>
            <w:r>
              <w:rPr>
                <w:rFonts w:hint="eastAsia"/>
                <w:color w:val="auto"/>
                <w:sz w:val="24"/>
                <w:szCs w:val="24"/>
                <w:highlight w:val="none"/>
              </w:rPr>
              <w:t>每个</w:t>
            </w:r>
            <w:r>
              <w:rPr>
                <w:rFonts w:hint="eastAsia"/>
                <w:color w:val="auto"/>
                <w:sz w:val="24"/>
                <w:szCs w:val="24"/>
                <w:highlight w:val="none"/>
                <w:lang w:val="en-US" w:eastAsia="zh-CN"/>
              </w:rPr>
              <w:t>得10</w:t>
            </w:r>
            <w:r>
              <w:rPr>
                <w:rFonts w:hint="eastAsia"/>
                <w:color w:val="auto"/>
                <w:sz w:val="24"/>
                <w:szCs w:val="24"/>
                <w:highlight w:val="none"/>
              </w:rPr>
              <w:t>分，最高</w:t>
            </w:r>
            <w:r>
              <w:rPr>
                <w:rFonts w:hint="eastAsia"/>
                <w:color w:val="auto"/>
                <w:sz w:val="24"/>
                <w:szCs w:val="24"/>
                <w:highlight w:val="none"/>
                <w:lang w:val="en-US" w:eastAsia="zh-CN"/>
              </w:rPr>
              <w:t>20</w:t>
            </w:r>
            <w:r>
              <w:rPr>
                <w:rFonts w:hint="eastAsia"/>
                <w:color w:val="auto"/>
                <w:sz w:val="24"/>
                <w:szCs w:val="24"/>
                <w:highlight w:val="none"/>
              </w:rPr>
              <w:t>分。(提供合同或中标通知书复印件并加盖公章，否则不计分)</w:t>
            </w:r>
          </w:p>
        </w:tc>
      </w:tr>
      <w:tr w14:paraId="3A99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vAlign w:val="top"/>
          </w:tcPr>
          <w:p w14:paraId="4E4B0814">
            <w:pPr>
              <w:snapToGrid w:val="0"/>
              <w:jc w:val="center"/>
              <w:textAlignment w:val="baseline"/>
              <w:rPr>
                <w:color w:val="auto"/>
                <w:sz w:val="24"/>
                <w:szCs w:val="24"/>
                <w:highlight w:val="none"/>
              </w:rPr>
            </w:pPr>
          </w:p>
        </w:tc>
        <w:tc>
          <w:tcPr>
            <w:tcW w:w="825" w:type="dxa"/>
            <w:vMerge w:val="restart"/>
            <w:vAlign w:val="top"/>
          </w:tcPr>
          <w:p w14:paraId="0C49C9AF">
            <w:pPr>
              <w:snapToGrid w:val="0"/>
              <w:jc w:val="center"/>
              <w:textAlignment w:val="baseline"/>
              <w:rPr>
                <w:rFonts w:hint="eastAsia"/>
                <w:sz w:val="24"/>
                <w:szCs w:val="24"/>
                <w:highlight w:val="none"/>
              </w:rPr>
            </w:pPr>
          </w:p>
          <w:p w14:paraId="5B626884">
            <w:pPr>
              <w:snapToGrid w:val="0"/>
              <w:jc w:val="center"/>
              <w:textAlignment w:val="baseline"/>
              <w:rPr>
                <w:rFonts w:hint="eastAsia"/>
                <w:sz w:val="24"/>
                <w:szCs w:val="24"/>
                <w:highlight w:val="none"/>
              </w:rPr>
            </w:pPr>
          </w:p>
          <w:p w14:paraId="732FC241">
            <w:pPr>
              <w:snapToGrid w:val="0"/>
              <w:jc w:val="center"/>
              <w:textAlignment w:val="baseline"/>
              <w:rPr>
                <w:rFonts w:hint="eastAsia"/>
                <w:sz w:val="24"/>
                <w:szCs w:val="24"/>
                <w:highlight w:val="none"/>
              </w:rPr>
            </w:pPr>
          </w:p>
          <w:p w14:paraId="4455F02B">
            <w:pPr>
              <w:snapToGrid w:val="0"/>
              <w:jc w:val="center"/>
              <w:textAlignment w:val="baseline"/>
              <w:rPr>
                <w:rFonts w:hint="eastAsia"/>
                <w:sz w:val="24"/>
                <w:szCs w:val="24"/>
                <w:highlight w:val="none"/>
              </w:rPr>
            </w:pPr>
          </w:p>
          <w:p w14:paraId="0C1130A6">
            <w:pPr>
              <w:snapToGrid w:val="0"/>
              <w:jc w:val="center"/>
              <w:textAlignment w:val="baseline"/>
              <w:rPr>
                <w:rFonts w:hint="eastAsia"/>
                <w:sz w:val="24"/>
                <w:szCs w:val="24"/>
                <w:highlight w:val="none"/>
              </w:rPr>
            </w:pPr>
          </w:p>
          <w:p w14:paraId="39FEA939">
            <w:pPr>
              <w:snapToGrid w:val="0"/>
              <w:jc w:val="center"/>
              <w:textAlignment w:val="baseline"/>
              <w:rPr>
                <w:rFonts w:hint="eastAsia"/>
                <w:sz w:val="24"/>
                <w:szCs w:val="24"/>
                <w:highlight w:val="none"/>
              </w:rPr>
            </w:pPr>
          </w:p>
          <w:p w14:paraId="598BD5C6">
            <w:pPr>
              <w:snapToGrid w:val="0"/>
              <w:jc w:val="both"/>
              <w:textAlignment w:val="baseline"/>
              <w:rPr>
                <w:rFonts w:hint="eastAsia" w:ascii="宋体" w:hAnsi="宋体" w:eastAsia="宋体" w:cs="宋体"/>
                <w:color w:val="auto"/>
                <w:sz w:val="24"/>
                <w:szCs w:val="24"/>
                <w:highlight w:val="none"/>
                <w:lang w:val="zh-CN" w:eastAsia="zh-CN" w:bidi="zh-CN"/>
              </w:rPr>
            </w:pPr>
            <w:r>
              <w:rPr>
                <w:rFonts w:hint="eastAsia"/>
                <w:sz w:val="24"/>
                <w:szCs w:val="24"/>
                <w:highlight w:val="none"/>
                <w:lang w:val="en-US" w:eastAsia="zh-CN"/>
              </w:rPr>
              <w:t>技</w:t>
            </w:r>
            <w:r>
              <w:rPr>
                <w:rFonts w:hint="eastAsia"/>
                <w:sz w:val="24"/>
                <w:szCs w:val="24"/>
                <w:highlight w:val="none"/>
              </w:rPr>
              <w:t>术标（4</w:t>
            </w:r>
            <w:r>
              <w:rPr>
                <w:rFonts w:hint="eastAsia"/>
                <w:sz w:val="24"/>
                <w:szCs w:val="24"/>
                <w:highlight w:val="none"/>
                <w:lang w:val="en-US" w:eastAsia="zh-CN"/>
              </w:rPr>
              <w:t>0</w:t>
            </w:r>
            <w:r>
              <w:rPr>
                <w:rFonts w:hint="eastAsia"/>
                <w:sz w:val="24"/>
                <w:szCs w:val="24"/>
                <w:highlight w:val="none"/>
              </w:rPr>
              <w:t>）分</w:t>
            </w:r>
          </w:p>
        </w:tc>
        <w:tc>
          <w:tcPr>
            <w:tcW w:w="1173" w:type="dxa"/>
            <w:vAlign w:val="center"/>
          </w:tcPr>
          <w:p w14:paraId="78B3B9F9">
            <w:pPr>
              <w:widowControl/>
              <w:snapToGrid w:val="0"/>
              <w:jc w:val="center"/>
              <w:textAlignment w:val="center"/>
              <w:rPr>
                <w:rFonts w:hint="eastAsia" w:eastAsia="宋体"/>
                <w:sz w:val="24"/>
                <w:szCs w:val="24"/>
                <w:highlight w:val="none"/>
                <w:lang w:val="en-US" w:eastAsia="zh-CN"/>
              </w:rPr>
            </w:pPr>
            <w:r>
              <w:rPr>
                <w:rFonts w:hint="eastAsia"/>
                <w:sz w:val="24"/>
                <w:szCs w:val="24"/>
                <w:highlight w:val="none"/>
                <w:lang w:val="en-US" w:eastAsia="zh-CN"/>
              </w:rPr>
              <w:t>方案</w:t>
            </w:r>
          </w:p>
          <w:p w14:paraId="72FADFF1">
            <w:pPr>
              <w:widowControl/>
              <w:snapToGrid w:val="0"/>
              <w:jc w:val="center"/>
              <w:textAlignment w:val="center"/>
              <w:rPr>
                <w:rFonts w:hint="eastAsia"/>
                <w:sz w:val="24"/>
                <w:szCs w:val="24"/>
                <w:highlight w:val="none"/>
              </w:rPr>
            </w:pPr>
            <w:r>
              <w:rPr>
                <w:rFonts w:hint="eastAsia"/>
                <w:sz w:val="24"/>
                <w:szCs w:val="24"/>
                <w:highlight w:val="none"/>
              </w:rPr>
              <w:t>设计</w:t>
            </w:r>
          </w:p>
        </w:tc>
        <w:tc>
          <w:tcPr>
            <w:tcW w:w="765" w:type="dxa"/>
            <w:vAlign w:val="center"/>
          </w:tcPr>
          <w:p w14:paraId="706335FD">
            <w:pPr>
              <w:widowControl/>
              <w:snapToGrid w:val="0"/>
              <w:jc w:val="center"/>
              <w:textAlignment w:val="center"/>
              <w:rPr>
                <w:rFonts w:hint="eastAsia"/>
                <w:sz w:val="24"/>
                <w:szCs w:val="24"/>
                <w:highlight w:val="none"/>
                <w:lang w:val="en-US" w:eastAsia="zh-CN"/>
              </w:rPr>
            </w:pPr>
            <w:r>
              <w:rPr>
                <w:rFonts w:hint="eastAsia"/>
                <w:sz w:val="24"/>
                <w:szCs w:val="24"/>
                <w:highlight w:val="none"/>
              </w:rPr>
              <w:t>1</w:t>
            </w:r>
            <w:r>
              <w:rPr>
                <w:rFonts w:hint="eastAsia"/>
                <w:sz w:val="24"/>
                <w:szCs w:val="24"/>
                <w:highlight w:val="none"/>
                <w:lang w:val="en-US" w:eastAsia="zh-CN"/>
              </w:rPr>
              <w:t>0</w:t>
            </w:r>
            <w:r>
              <w:rPr>
                <w:rFonts w:hint="eastAsia"/>
                <w:sz w:val="24"/>
                <w:szCs w:val="24"/>
                <w:highlight w:val="none"/>
              </w:rPr>
              <w:t>分</w:t>
            </w:r>
          </w:p>
        </w:tc>
        <w:tc>
          <w:tcPr>
            <w:tcW w:w="5988" w:type="dxa"/>
            <w:vAlign w:val="center"/>
          </w:tcPr>
          <w:p w14:paraId="13CB0445">
            <w:pPr>
              <w:widowControl/>
              <w:snapToGrid w:val="0"/>
              <w:jc w:val="center"/>
              <w:textAlignment w:val="center"/>
              <w:rPr>
                <w:rFonts w:hint="eastAsia"/>
                <w:sz w:val="24"/>
                <w:szCs w:val="24"/>
                <w:highlight w:val="none"/>
                <w:lang w:val="en-US"/>
              </w:rPr>
            </w:pPr>
            <w:r>
              <w:rPr>
                <w:rFonts w:hint="eastAsia"/>
                <w:sz w:val="24"/>
                <w:szCs w:val="24"/>
                <w:highlight w:val="none"/>
                <w:lang w:val="en-US"/>
              </w:rPr>
              <w:t>投标人根据对本项目的理解，提供内容全面、脉络清晰、定位准确、主题明确、布局合理的</w:t>
            </w:r>
            <w:r>
              <w:rPr>
                <w:rFonts w:hint="eastAsia"/>
                <w:sz w:val="24"/>
                <w:szCs w:val="24"/>
                <w:highlight w:val="none"/>
                <w:lang w:val="en-US" w:eastAsia="zh-CN"/>
              </w:rPr>
              <w:t>方案</w:t>
            </w:r>
            <w:r>
              <w:rPr>
                <w:rFonts w:hint="eastAsia"/>
                <w:sz w:val="24"/>
                <w:szCs w:val="24"/>
                <w:highlight w:val="none"/>
                <w:lang w:val="en-US"/>
              </w:rPr>
              <w:t>设计，优</w:t>
            </w:r>
            <w:r>
              <w:rPr>
                <w:rFonts w:hint="eastAsia"/>
                <w:sz w:val="24"/>
                <w:szCs w:val="24"/>
                <w:highlight w:val="none"/>
                <w:lang w:val="en-US" w:eastAsia="zh-CN"/>
              </w:rPr>
              <w:t>8</w:t>
            </w:r>
            <w:r>
              <w:rPr>
                <w:rFonts w:hint="eastAsia"/>
                <w:sz w:val="24"/>
                <w:szCs w:val="24"/>
                <w:highlight w:val="none"/>
                <w:lang w:val="en-US"/>
              </w:rPr>
              <w:t>-8</w:t>
            </w:r>
            <w:r>
              <w:rPr>
                <w:rFonts w:hint="eastAsia"/>
                <w:sz w:val="24"/>
                <w:szCs w:val="24"/>
                <w:highlight w:val="none"/>
                <w:lang w:val="en-US" w:eastAsia="zh-CN"/>
              </w:rPr>
              <w:t>-10</w:t>
            </w:r>
            <w:r>
              <w:rPr>
                <w:rFonts w:hint="eastAsia"/>
                <w:sz w:val="24"/>
                <w:szCs w:val="24"/>
                <w:highlight w:val="none"/>
                <w:lang w:val="en-US"/>
              </w:rPr>
              <w:t>分，良</w:t>
            </w:r>
            <w:r>
              <w:rPr>
                <w:rFonts w:hint="eastAsia"/>
                <w:sz w:val="24"/>
                <w:szCs w:val="24"/>
                <w:highlight w:val="none"/>
                <w:lang w:val="en-US" w:eastAsia="zh-CN"/>
              </w:rPr>
              <w:t>5</w:t>
            </w:r>
            <w:r>
              <w:rPr>
                <w:rFonts w:hint="eastAsia"/>
                <w:sz w:val="24"/>
                <w:szCs w:val="24"/>
                <w:highlight w:val="none"/>
                <w:lang w:val="en-US"/>
              </w:rPr>
              <w:t>-</w:t>
            </w:r>
            <w:r>
              <w:rPr>
                <w:rFonts w:hint="eastAsia"/>
                <w:sz w:val="24"/>
                <w:szCs w:val="24"/>
                <w:highlight w:val="none"/>
                <w:lang w:val="en-US" w:eastAsia="zh-CN"/>
              </w:rPr>
              <w:t>7</w:t>
            </w:r>
            <w:r>
              <w:rPr>
                <w:rFonts w:hint="eastAsia"/>
                <w:sz w:val="24"/>
                <w:szCs w:val="24"/>
                <w:highlight w:val="none"/>
                <w:lang w:val="en-US"/>
              </w:rPr>
              <w:t>分，差</w:t>
            </w:r>
            <w:r>
              <w:rPr>
                <w:rFonts w:hint="eastAsia"/>
                <w:sz w:val="24"/>
                <w:szCs w:val="24"/>
                <w:highlight w:val="none"/>
                <w:lang w:val="en-US" w:eastAsia="zh-CN"/>
              </w:rPr>
              <w:t>0</w:t>
            </w:r>
            <w:r>
              <w:rPr>
                <w:rFonts w:hint="eastAsia"/>
                <w:sz w:val="24"/>
                <w:szCs w:val="24"/>
                <w:highlight w:val="none"/>
                <w:lang w:val="en-US"/>
              </w:rPr>
              <w:t>-</w:t>
            </w:r>
            <w:r>
              <w:rPr>
                <w:rFonts w:hint="eastAsia"/>
                <w:sz w:val="24"/>
                <w:szCs w:val="24"/>
                <w:highlight w:val="none"/>
                <w:lang w:val="en-US" w:eastAsia="zh-CN"/>
              </w:rPr>
              <w:t>4</w:t>
            </w:r>
            <w:r>
              <w:rPr>
                <w:rFonts w:hint="eastAsia"/>
                <w:sz w:val="24"/>
                <w:szCs w:val="24"/>
                <w:highlight w:val="none"/>
                <w:lang w:val="en-US"/>
              </w:rPr>
              <w:t>分。</w:t>
            </w:r>
          </w:p>
        </w:tc>
      </w:tr>
      <w:tr w14:paraId="7D5DE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vAlign w:val="top"/>
          </w:tcPr>
          <w:p w14:paraId="49E7623A">
            <w:pPr>
              <w:snapToGrid w:val="0"/>
              <w:jc w:val="center"/>
              <w:textAlignment w:val="baseline"/>
              <w:rPr>
                <w:color w:val="auto"/>
                <w:sz w:val="24"/>
                <w:szCs w:val="24"/>
                <w:highlight w:val="none"/>
              </w:rPr>
            </w:pPr>
          </w:p>
        </w:tc>
        <w:tc>
          <w:tcPr>
            <w:tcW w:w="825" w:type="dxa"/>
            <w:vMerge w:val="continue"/>
            <w:vAlign w:val="top"/>
          </w:tcPr>
          <w:p w14:paraId="6E12A0C8">
            <w:pPr>
              <w:snapToGrid w:val="0"/>
              <w:jc w:val="both"/>
              <w:textAlignment w:val="baseline"/>
              <w:rPr>
                <w:rFonts w:hint="eastAsia" w:ascii="宋体" w:hAnsi="宋体" w:eastAsia="宋体" w:cs="宋体"/>
                <w:color w:val="auto"/>
                <w:sz w:val="24"/>
                <w:szCs w:val="24"/>
                <w:highlight w:val="none"/>
                <w:lang w:val="zh-CN" w:eastAsia="zh-CN" w:bidi="zh-CN"/>
              </w:rPr>
            </w:pPr>
          </w:p>
        </w:tc>
        <w:tc>
          <w:tcPr>
            <w:tcW w:w="1173" w:type="dxa"/>
            <w:vAlign w:val="center"/>
          </w:tcPr>
          <w:p w14:paraId="37F81558">
            <w:pPr>
              <w:widowControl/>
              <w:snapToGrid w:val="0"/>
              <w:jc w:val="center"/>
              <w:textAlignment w:val="center"/>
              <w:rPr>
                <w:rFonts w:hint="eastAsia"/>
                <w:sz w:val="24"/>
                <w:szCs w:val="24"/>
                <w:highlight w:val="none"/>
              </w:rPr>
            </w:pPr>
            <w:r>
              <w:rPr>
                <w:rFonts w:hint="eastAsia"/>
                <w:sz w:val="24"/>
                <w:szCs w:val="24"/>
                <w:highlight w:val="none"/>
              </w:rPr>
              <w:t>技术</w:t>
            </w:r>
          </w:p>
          <w:p w14:paraId="746EADC6">
            <w:pPr>
              <w:widowControl/>
              <w:snapToGrid w:val="0"/>
              <w:jc w:val="center"/>
              <w:textAlignment w:val="center"/>
              <w:rPr>
                <w:rFonts w:hint="eastAsia" w:ascii="宋体" w:hAnsi="宋体" w:eastAsia="宋体" w:cs="宋体"/>
                <w:color w:val="auto"/>
                <w:sz w:val="24"/>
                <w:szCs w:val="24"/>
                <w:highlight w:val="none"/>
                <w:lang w:val="zh-CN" w:eastAsia="zh-CN" w:bidi="zh-CN"/>
              </w:rPr>
            </w:pPr>
            <w:r>
              <w:rPr>
                <w:rFonts w:hint="eastAsia"/>
                <w:sz w:val="24"/>
                <w:szCs w:val="24"/>
                <w:highlight w:val="none"/>
              </w:rPr>
              <w:t>方案</w:t>
            </w:r>
          </w:p>
        </w:tc>
        <w:tc>
          <w:tcPr>
            <w:tcW w:w="765" w:type="dxa"/>
            <w:vAlign w:val="center"/>
          </w:tcPr>
          <w:p w14:paraId="09E5FB7F">
            <w:pPr>
              <w:widowControl/>
              <w:snapToGrid w:val="0"/>
              <w:jc w:val="center"/>
              <w:textAlignment w:val="center"/>
              <w:rPr>
                <w:rFonts w:hint="eastAsia" w:ascii="宋体" w:hAnsi="宋体" w:eastAsia="宋体" w:cs="宋体"/>
                <w:sz w:val="22"/>
                <w:szCs w:val="22"/>
                <w:highlight w:val="none"/>
                <w:lang w:val="en-US" w:eastAsia="zh-CN" w:bidi="zh-CN"/>
              </w:rPr>
            </w:pPr>
            <w:r>
              <w:rPr>
                <w:rFonts w:hint="eastAsia"/>
                <w:sz w:val="24"/>
                <w:szCs w:val="24"/>
                <w:highlight w:val="none"/>
                <w:lang w:val="en-US" w:eastAsia="zh-CN"/>
              </w:rPr>
              <w:t>15</w:t>
            </w:r>
            <w:r>
              <w:rPr>
                <w:rFonts w:hint="eastAsia"/>
                <w:sz w:val="24"/>
                <w:szCs w:val="24"/>
                <w:highlight w:val="none"/>
              </w:rPr>
              <w:t>分</w:t>
            </w:r>
          </w:p>
        </w:tc>
        <w:tc>
          <w:tcPr>
            <w:tcW w:w="5988" w:type="dxa"/>
            <w:vAlign w:val="center"/>
          </w:tcPr>
          <w:p w14:paraId="49EB6628">
            <w:pPr>
              <w:widowControl/>
              <w:rPr>
                <w:rFonts w:hint="eastAsia"/>
                <w:color w:val="auto"/>
                <w:sz w:val="24"/>
                <w:szCs w:val="24"/>
                <w:highlight w:val="none"/>
              </w:rPr>
            </w:pPr>
            <w:r>
              <w:rPr>
                <w:rFonts w:hint="eastAsia"/>
                <w:color w:val="auto"/>
                <w:sz w:val="24"/>
                <w:szCs w:val="24"/>
                <w:highlight w:val="none"/>
              </w:rPr>
              <w:t>比较各投标人的制作及安装</w:t>
            </w:r>
            <w:r>
              <w:rPr>
                <w:rFonts w:hint="eastAsia"/>
                <w:color w:val="auto"/>
                <w:sz w:val="24"/>
                <w:szCs w:val="24"/>
                <w:highlight w:val="none"/>
                <w:lang w:val="en-US" w:eastAsia="zh-CN"/>
              </w:rPr>
              <w:t>技术流程和标准</w:t>
            </w:r>
            <w:r>
              <w:rPr>
                <w:rFonts w:hint="eastAsia"/>
                <w:color w:val="auto"/>
                <w:sz w:val="24"/>
                <w:szCs w:val="24"/>
                <w:highlight w:val="none"/>
              </w:rPr>
              <w:t>详细、全面、合理等情况进行打分：</w:t>
            </w:r>
          </w:p>
          <w:p w14:paraId="2236B7A7">
            <w:pPr>
              <w:widowControl/>
              <w:rPr>
                <w:rFonts w:hint="eastAsia"/>
                <w:color w:val="auto"/>
                <w:sz w:val="24"/>
                <w:szCs w:val="24"/>
                <w:highlight w:val="none"/>
              </w:rPr>
            </w:pPr>
            <w:r>
              <w:rPr>
                <w:rFonts w:hint="eastAsia"/>
                <w:color w:val="auto"/>
                <w:sz w:val="24"/>
                <w:szCs w:val="24"/>
                <w:highlight w:val="none"/>
                <w:lang w:val="en-US"/>
              </w:rPr>
              <w:t>提供的</w:t>
            </w:r>
            <w:r>
              <w:rPr>
                <w:rFonts w:hint="eastAsia"/>
                <w:color w:val="auto"/>
                <w:sz w:val="24"/>
                <w:szCs w:val="24"/>
                <w:highlight w:val="none"/>
                <w:lang w:val="en-US" w:eastAsia="zh-CN"/>
              </w:rPr>
              <w:t>技术</w:t>
            </w:r>
            <w:r>
              <w:rPr>
                <w:rFonts w:hint="eastAsia"/>
                <w:color w:val="auto"/>
                <w:sz w:val="24"/>
                <w:szCs w:val="24"/>
                <w:highlight w:val="none"/>
                <w:lang w:val="en-US"/>
              </w:rPr>
              <w:t>方案科学、合理、针对性强、贴合项目实施要求的得</w:t>
            </w:r>
            <w:r>
              <w:rPr>
                <w:rFonts w:hint="eastAsia"/>
                <w:color w:val="auto"/>
                <w:sz w:val="24"/>
                <w:szCs w:val="24"/>
                <w:highlight w:val="none"/>
                <w:lang w:val="en-US" w:eastAsia="zh-CN"/>
              </w:rPr>
              <w:t>10</w:t>
            </w:r>
            <w:r>
              <w:rPr>
                <w:rFonts w:hint="eastAsia"/>
                <w:color w:val="auto"/>
                <w:sz w:val="24"/>
                <w:szCs w:val="24"/>
                <w:highlight w:val="none"/>
                <w:lang w:val="en-US"/>
              </w:rPr>
              <w:t>-</w:t>
            </w:r>
            <w:r>
              <w:rPr>
                <w:rFonts w:hint="eastAsia"/>
                <w:color w:val="auto"/>
                <w:sz w:val="24"/>
                <w:szCs w:val="24"/>
                <w:highlight w:val="none"/>
                <w:lang w:val="en-US" w:eastAsia="zh-CN"/>
              </w:rPr>
              <w:t>15</w:t>
            </w:r>
            <w:r>
              <w:rPr>
                <w:rFonts w:hint="eastAsia"/>
                <w:color w:val="auto"/>
                <w:sz w:val="24"/>
                <w:szCs w:val="24"/>
                <w:highlight w:val="none"/>
                <w:lang w:val="en-US"/>
              </w:rPr>
              <w:t xml:space="preserve">分； </w:t>
            </w:r>
          </w:p>
          <w:p w14:paraId="2ABF0BF9">
            <w:pPr>
              <w:widowControl/>
              <w:ind w:right="-167" w:rightChars="-76"/>
              <w:rPr>
                <w:rFonts w:hint="eastAsia"/>
                <w:color w:val="auto"/>
                <w:sz w:val="24"/>
                <w:szCs w:val="24"/>
                <w:highlight w:val="none"/>
              </w:rPr>
            </w:pPr>
            <w:r>
              <w:rPr>
                <w:rFonts w:hint="eastAsia"/>
                <w:color w:val="auto"/>
                <w:sz w:val="24"/>
                <w:szCs w:val="24"/>
                <w:highlight w:val="none"/>
                <w:lang w:val="en-US"/>
              </w:rPr>
              <w:t>提供的方案合理、可行、满足项目实施要求的得</w:t>
            </w:r>
            <w:r>
              <w:rPr>
                <w:rFonts w:hint="eastAsia"/>
                <w:color w:val="auto"/>
                <w:sz w:val="24"/>
                <w:szCs w:val="24"/>
                <w:highlight w:val="none"/>
                <w:lang w:val="en-US" w:eastAsia="zh-CN"/>
              </w:rPr>
              <w:t>6</w:t>
            </w:r>
            <w:r>
              <w:rPr>
                <w:rFonts w:hint="eastAsia"/>
                <w:color w:val="auto"/>
                <w:sz w:val="24"/>
                <w:szCs w:val="24"/>
                <w:highlight w:val="none"/>
                <w:lang w:val="en-US"/>
              </w:rPr>
              <w:t>-</w:t>
            </w:r>
            <w:r>
              <w:rPr>
                <w:rFonts w:hint="eastAsia"/>
                <w:color w:val="auto"/>
                <w:sz w:val="24"/>
                <w:szCs w:val="24"/>
                <w:highlight w:val="none"/>
                <w:lang w:val="en-US" w:eastAsia="zh-CN"/>
              </w:rPr>
              <w:t>9</w:t>
            </w:r>
            <w:r>
              <w:rPr>
                <w:rFonts w:hint="eastAsia"/>
                <w:color w:val="auto"/>
                <w:sz w:val="24"/>
                <w:szCs w:val="24"/>
                <w:highlight w:val="none"/>
                <w:lang w:val="en-US"/>
              </w:rPr>
              <w:t xml:space="preserve">分； </w:t>
            </w:r>
          </w:p>
          <w:p w14:paraId="0A37B811">
            <w:pPr>
              <w:widowControl/>
              <w:rPr>
                <w:rFonts w:hint="eastAsia"/>
                <w:color w:val="auto"/>
                <w:sz w:val="24"/>
                <w:szCs w:val="24"/>
                <w:highlight w:val="none"/>
              </w:rPr>
            </w:pPr>
            <w:r>
              <w:rPr>
                <w:rFonts w:hint="eastAsia"/>
                <w:color w:val="auto"/>
                <w:sz w:val="24"/>
                <w:szCs w:val="24"/>
                <w:highlight w:val="none"/>
                <w:lang w:val="en-US"/>
              </w:rPr>
              <w:t xml:space="preserve">提供的方案基本可行、符合项目实施要求的得3-5分； </w:t>
            </w:r>
          </w:p>
          <w:p w14:paraId="3BAE75AC">
            <w:pPr>
              <w:widowControl/>
              <w:rPr>
                <w:rFonts w:hint="eastAsia"/>
                <w:color w:val="auto"/>
                <w:sz w:val="24"/>
                <w:szCs w:val="24"/>
                <w:highlight w:val="none"/>
                <w:lang w:val="en-US" w:eastAsia="zh-CN"/>
              </w:rPr>
            </w:pPr>
            <w:r>
              <w:rPr>
                <w:rFonts w:hint="eastAsia"/>
                <w:color w:val="auto"/>
                <w:sz w:val="24"/>
                <w:szCs w:val="24"/>
                <w:highlight w:val="none"/>
                <w:lang w:val="en-US"/>
              </w:rPr>
              <w:t xml:space="preserve">提供的方案不完整、不合理的不得分。 </w:t>
            </w:r>
          </w:p>
        </w:tc>
      </w:tr>
      <w:tr w14:paraId="41B22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41" w:type="dxa"/>
            <w:vMerge w:val="continue"/>
            <w:vAlign w:val="top"/>
          </w:tcPr>
          <w:p w14:paraId="5EA55154">
            <w:pPr>
              <w:snapToGrid w:val="0"/>
              <w:jc w:val="center"/>
              <w:textAlignment w:val="baseline"/>
              <w:rPr>
                <w:color w:val="auto"/>
                <w:sz w:val="24"/>
                <w:szCs w:val="24"/>
                <w:highlight w:val="none"/>
              </w:rPr>
            </w:pPr>
          </w:p>
        </w:tc>
        <w:tc>
          <w:tcPr>
            <w:tcW w:w="825" w:type="dxa"/>
            <w:vMerge w:val="continue"/>
            <w:vAlign w:val="top"/>
          </w:tcPr>
          <w:p w14:paraId="49F5E9B6">
            <w:pPr>
              <w:snapToGrid w:val="0"/>
              <w:jc w:val="center"/>
              <w:textAlignment w:val="baseline"/>
              <w:rPr>
                <w:rFonts w:hint="eastAsia" w:ascii="宋体" w:hAnsi="宋体" w:eastAsia="宋体" w:cs="宋体"/>
                <w:color w:val="auto"/>
                <w:sz w:val="24"/>
                <w:szCs w:val="24"/>
                <w:highlight w:val="none"/>
                <w:lang w:val="zh-CN" w:eastAsia="zh-CN" w:bidi="zh-CN"/>
              </w:rPr>
            </w:pPr>
          </w:p>
        </w:tc>
        <w:tc>
          <w:tcPr>
            <w:tcW w:w="1173" w:type="dxa"/>
            <w:vMerge w:val="restart"/>
            <w:vAlign w:val="center"/>
          </w:tcPr>
          <w:p w14:paraId="6A758F4D">
            <w:pPr>
              <w:snapToGrid w:val="0"/>
              <w:spacing w:line="320" w:lineRule="atLeast"/>
              <w:jc w:val="center"/>
              <w:rPr>
                <w:rFonts w:hint="eastAsia" w:ascii="宋体" w:hAnsi="宋体" w:eastAsia="宋体" w:cs="宋体"/>
                <w:color w:val="auto"/>
                <w:sz w:val="24"/>
                <w:szCs w:val="24"/>
                <w:highlight w:val="none"/>
                <w:lang w:val="zh-CN" w:eastAsia="zh-CN" w:bidi="zh-CN"/>
              </w:rPr>
            </w:pPr>
            <w:r>
              <w:rPr>
                <w:rFonts w:hint="eastAsia"/>
                <w:sz w:val="24"/>
                <w:szCs w:val="24"/>
                <w:highlight w:val="none"/>
                <w:lang w:val="en-US" w:eastAsia="zh-CN"/>
              </w:rPr>
              <w:t>服务及售后</w:t>
            </w:r>
          </w:p>
        </w:tc>
        <w:tc>
          <w:tcPr>
            <w:tcW w:w="765" w:type="dxa"/>
            <w:vAlign w:val="center"/>
          </w:tcPr>
          <w:p w14:paraId="63DAB382">
            <w:pPr>
              <w:snapToGrid w:val="0"/>
              <w:spacing w:line="320" w:lineRule="atLeast"/>
              <w:jc w:val="center"/>
              <w:rPr>
                <w:rFonts w:hint="eastAsia" w:ascii="宋体" w:hAnsi="宋体" w:eastAsia="宋体" w:cs="宋体"/>
                <w:color w:val="auto"/>
                <w:sz w:val="24"/>
                <w:szCs w:val="24"/>
                <w:highlight w:val="none"/>
                <w:lang w:val="en-US" w:eastAsia="zh-CN" w:bidi="zh-CN"/>
              </w:rPr>
            </w:pPr>
            <w:r>
              <w:rPr>
                <w:rFonts w:hint="eastAsia"/>
                <w:sz w:val="24"/>
                <w:szCs w:val="24"/>
                <w:highlight w:val="none"/>
                <w:lang w:val="en-US" w:eastAsia="zh-CN"/>
              </w:rPr>
              <w:t>5分</w:t>
            </w:r>
          </w:p>
        </w:tc>
        <w:tc>
          <w:tcPr>
            <w:tcW w:w="5988" w:type="dxa"/>
            <w:vAlign w:val="center"/>
          </w:tcPr>
          <w:p w14:paraId="65FF54FA">
            <w:pPr>
              <w:snapToGrid w:val="0"/>
              <w:spacing w:line="320" w:lineRule="atLeast"/>
              <w:rPr>
                <w:rFonts w:hint="eastAsia"/>
                <w:color w:val="auto"/>
                <w:sz w:val="24"/>
                <w:szCs w:val="24"/>
                <w:highlight w:val="none"/>
                <w:lang w:val="en-US"/>
              </w:rPr>
            </w:pPr>
            <w:r>
              <w:rPr>
                <w:rFonts w:hint="eastAsia"/>
                <w:color w:val="auto"/>
                <w:sz w:val="24"/>
                <w:szCs w:val="24"/>
                <w:highlight w:val="none"/>
                <w:lang w:val="en-US"/>
              </w:rPr>
              <w:t>投标人承诺故障响应时间:在服务期内经常回访，有问题做到及时处理。出现质量问题或故障时，响应时间乏2小时，24小时内到达现场，到达现场后6个工时处理完毕，无法修复的，需提供同等参数要求的备用产品进行更换。优</w:t>
            </w:r>
            <w:r>
              <w:rPr>
                <w:rFonts w:hint="eastAsia"/>
                <w:color w:val="auto"/>
                <w:sz w:val="24"/>
                <w:szCs w:val="24"/>
                <w:highlight w:val="none"/>
                <w:lang w:val="en-US" w:eastAsia="zh-CN"/>
              </w:rPr>
              <w:t>4</w:t>
            </w:r>
            <w:r>
              <w:rPr>
                <w:rFonts w:hint="eastAsia"/>
                <w:color w:val="auto"/>
                <w:sz w:val="24"/>
                <w:szCs w:val="24"/>
                <w:highlight w:val="none"/>
                <w:lang w:val="en-US"/>
              </w:rPr>
              <w:t>-</w:t>
            </w:r>
            <w:r>
              <w:rPr>
                <w:rFonts w:hint="eastAsia"/>
                <w:color w:val="auto"/>
                <w:sz w:val="24"/>
                <w:szCs w:val="24"/>
                <w:highlight w:val="none"/>
                <w:lang w:val="en-US" w:eastAsia="zh-CN"/>
              </w:rPr>
              <w:t>5</w:t>
            </w:r>
            <w:r>
              <w:rPr>
                <w:rFonts w:hint="eastAsia"/>
                <w:color w:val="auto"/>
                <w:sz w:val="24"/>
                <w:szCs w:val="24"/>
                <w:highlight w:val="none"/>
                <w:lang w:val="en-US"/>
              </w:rPr>
              <w:t>分</w:t>
            </w:r>
            <w:r>
              <w:rPr>
                <w:rFonts w:hint="eastAsia"/>
                <w:color w:val="auto"/>
                <w:sz w:val="24"/>
                <w:szCs w:val="24"/>
                <w:highlight w:val="none"/>
                <w:lang w:val="en-US" w:eastAsia="zh-CN"/>
              </w:rPr>
              <w:t>，</w:t>
            </w:r>
            <w:r>
              <w:rPr>
                <w:rFonts w:hint="eastAsia"/>
                <w:color w:val="auto"/>
                <w:sz w:val="24"/>
                <w:szCs w:val="24"/>
                <w:highlight w:val="none"/>
                <w:lang w:val="en-US"/>
              </w:rPr>
              <w:t>良</w:t>
            </w:r>
            <w:r>
              <w:rPr>
                <w:rFonts w:hint="eastAsia"/>
                <w:color w:val="auto"/>
                <w:sz w:val="24"/>
                <w:szCs w:val="24"/>
                <w:highlight w:val="none"/>
                <w:lang w:val="en-US" w:eastAsia="zh-CN"/>
              </w:rPr>
              <w:t>2-3</w:t>
            </w:r>
            <w:r>
              <w:rPr>
                <w:rFonts w:hint="eastAsia"/>
                <w:color w:val="auto"/>
                <w:sz w:val="24"/>
                <w:szCs w:val="24"/>
                <w:highlight w:val="none"/>
                <w:lang w:val="en-US"/>
              </w:rPr>
              <w:t>分，一般</w:t>
            </w:r>
            <w:r>
              <w:rPr>
                <w:rFonts w:hint="eastAsia"/>
                <w:color w:val="auto"/>
                <w:sz w:val="24"/>
                <w:szCs w:val="24"/>
                <w:highlight w:val="none"/>
                <w:lang w:val="en-US" w:eastAsia="zh-CN"/>
              </w:rPr>
              <w:t>0</w:t>
            </w:r>
            <w:r>
              <w:rPr>
                <w:rFonts w:hint="eastAsia"/>
                <w:color w:val="auto"/>
                <w:sz w:val="24"/>
                <w:szCs w:val="24"/>
                <w:highlight w:val="none"/>
                <w:lang w:val="en-US"/>
              </w:rPr>
              <w:t>-</w:t>
            </w:r>
            <w:r>
              <w:rPr>
                <w:rFonts w:hint="eastAsia"/>
                <w:color w:val="auto"/>
                <w:sz w:val="24"/>
                <w:szCs w:val="24"/>
                <w:highlight w:val="none"/>
                <w:lang w:val="en-US" w:eastAsia="zh-CN"/>
              </w:rPr>
              <w:t>1</w:t>
            </w:r>
            <w:r>
              <w:rPr>
                <w:rFonts w:hint="eastAsia"/>
                <w:color w:val="auto"/>
                <w:sz w:val="24"/>
                <w:szCs w:val="24"/>
                <w:highlight w:val="none"/>
                <w:lang w:val="en-US"/>
              </w:rPr>
              <w:t>分。</w:t>
            </w:r>
          </w:p>
        </w:tc>
      </w:tr>
      <w:tr w14:paraId="7701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41" w:type="dxa"/>
            <w:vMerge w:val="continue"/>
            <w:vAlign w:val="top"/>
          </w:tcPr>
          <w:p w14:paraId="2D1B9B2A">
            <w:pPr>
              <w:snapToGrid w:val="0"/>
              <w:jc w:val="center"/>
              <w:textAlignment w:val="baseline"/>
              <w:rPr>
                <w:color w:val="auto"/>
                <w:sz w:val="24"/>
                <w:szCs w:val="24"/>
                <w:highlight w:val="none"/>
              </w:rPr>
            </w:pPr>
          </w:p>
        </w:tc>
        <w:tc>
          <w:tcPr>
            <w:tcW w:w="825" w:type="dxa"/>
            <w:vMerge w:val="continue"/>
            <w:vAlign w:val="top"/>
          </w:tcPr>
          <w:p w14:paraId="775DBD4D">
            <w:pPr>
              <w:snapToGrid w:val="0"/>
              <w:jc w:val="center"/>
              <w:textAlignment w:val="baseline"/>
              <w:rPr>
                <w:rFonts w:hint="eastAsia" w:ascii="宋体" w:hAnsi="宋体" w:eastAsia="宋体" w:cs="宋体"/>
                <w:color w:val="auto"/>
                <w:sz w:val="24"/>
                <w:szCs w:val="24"/>
                <w:highlight w:val="none"/>
                <w:lang w:val="zh-CN" w:eastAsia="zh-CN" w:bidi="zh-CN"/>
              </w:rPr>
            </w:pPr>
          </w:p>
        </w:tc>
        <w:tc>
          <w:tcPr>
            <w:tcW w:w="1173" w:type="dxa"/>
            <w:vMerge w:val="continue"/>
            <w:vAlign w:val="center"/>
          </w:tcPr>
          <w:p w14:paraId="3956EF99">
            <w:pPr>
              <w:snapToGrid w:val="0"/>
              <w:spacing w:line="320" w:lineRule="atLeast"/>
              <w:jc w:val="center"/>
              <w:rPr>
                <w:rFonts w:hint="eastAsia" w:ascii="宋体" w:hAnsi="宋体" w:eastAsia="宋体" w:cs="宋体"/>
                <w:color w:val="auto"/>
                <w:sz w:val="24"/>
                <w:szCs w:val="24"/>
                <w:highlight w:val="none"/>
                <w:lang w:val="zh-CN" w:eastAsia="zh-CN" w:bidi="zh-CN"/>
              </w:rPr>
            </w:pPr>
          </w:p>
        </w:tc>
        <w:tc>
          <w:tcPr>
            <w:tcW w:w="765" w:type="dxa"/>
            <w:vAlign w:val="center"/>
          </w:tcPr>
          <w:p w14:paraId="61AB2FA5">
            <w:pPr>
              <w:snapToGrid w:val="0"/>
              <w:spacing w:line="320" w:lineRule="atLeast"/>
              <w:jc w:val="center"/>
              <w:rPr>
                <w:rFonts w:hint="eastAsia" w:ascii="宋体" w:hAnsi="宋体" w:eastAsia="宋体" w:cs="宋体"/>
                <w:color w:val="auto"/>
                <w:sz w:val="24"/>
                <w:szCs w:val="24"/>
                <w:highlight w:val="none"/>
                <w:lang w:val="en-US" w:eastAsia="zh-CN" w:bidi="zh-CN"/>
              </w:rPr>
            </w:pPr>
            <w:r>
              <w:rPr>
                <w:rFonts w:hint="eastAsia"/>
                <w:sz w:val="24"/>
                <w:szCs w:val="24"/>
                <w:highlight w:val="none"/>
                <w:lang w:val="en-US" w:eastAsia="zh-CN"/>
              </w:rPr>
              <w:t>5</w:t>
            </w:r>
            <w:r>
              <w:rPr>
                <w:rFonts w:hint="eastAsia"/>
                <w:sz w:val="24"/>
                <w:szCs w:val="24"/>
                <w:highlight w:val="none"/>
              </w:rPr>
              <w:t>分</w:t>
            </w:r>
          </w:p>
        </w:tc>
        <w:tc>
          <w:tcPr>
            <w:tcW w:w="5988" w:type="dxa"/>
            <w:vAlign w:val="center"/>
          </w:tcPr>
          <w:p w14:paraId="1299B6EA">
            <w:pPr>
              <w:snapToGrid w:val="0"/>
              <w:spacing w:line="320" w:lineRule="atLeast"/>
              <w:rPr>
                <w:rFonts w:hint="eastAsia"/>
                <w:color w:val="auto"/>
                <w:sz w:val="24"/>
                <w:szCs w:val="24"/>
                <w:highlight w:val="none"/>
              </w:rPr>
            </w:pPr>
            <w:r>
              <w:rPr>
                <w:rFonts w:hint="eastAsia"/>
                <w:color w:val="auto"/>
                <w:sz w:val="24"/>
                <w:szCs w:val="24"/>
                <w:highlight w:val="none"/>
                <w:lang w:val="en-US"/>
              </w:rPr>
              <w:t>对投标人安装工期和安装质量保障是否合理且满足项目需求等方面进行综合比较。优</w:t>
            </w:r>
            <w:r>
              <w:rPr>
                <w:rFonts w:hint="eastAsia"/>
                <w:color w:val="auto"/>
                <w:sz w:val="24"/>
                <w:szCs w:val="24"/>
                <w:highlight w:val="none"/>
                <w:lang w:val="en-US" w:eastAsia="zh-CN"/>
              </w:rPr>
              <w:t>4</w:t>
            </w:r>
            <w:r>
              <w:rPr>
                <w:rFonts w:hint="eastAsia"/>
                <w:color w:val="auto"/>
                <w:sz w:val="24"/>
                <w:szCs w:val="24"/>
                <w:highlight w:val="none"/>
                <w:lang w:val="en-US"/>
              </w:rPr>
              <w:t>-</w:t>
            </w:r>
            <w:r>
              <w:rPr>
                <w:rFonts w:hint="eastAsia"/>
                <w:color w:val="auto"/>
                <w:sz w:val="24"/>
                <w:szCs w:val="24"/>
                <w:highlight w:val="none"/>
                <w:lang w:val="en-US" w:eastAsia="zh-CN"/>
              </w:rPr>
              <w:t>5</w:t>
            </w:r>
            <w:r>
              <w:rPr>
                <w:rFonts w:hint="eastAsia"/>
                <w:color w:val="auto"/>
                <w:sz w:val="24"/>
                <w:szCs w:val="24"/>
                <w:highlight w:val="none"/>
                <w:lang w:val="en-US"/>
              </w:rPr>
              <w:t>分，良</w:t>
            </w:r>
            <w:r>
              <w:rPr>
                <w:rFonts w:hint="eastAsia"/>
                <w:color w:val="auto"/>
                <w:sz w:val="24"/>
                <w:szCs w:val="24"/>
                <w:highlight w:val="none"/>
                <w:lang w:val="en-US" w:eastAsia="zh-CN"/>
              </w:rPr>
              <w:t>2-3</w:t>
            </w:r>
            <w:r>
              <w:rPr>
                <w:rFonts w:hint="eastAsia"/>
                <w:color w:val="auto"/>
                <w:sz w:val="24"/>
                <w:szCs w:val="24"/>
                <w:highlight w:val="none"/>
                <w:lang w:val="en-US"/>
              </w:rPr>
              <w:t>分，一般</w:t>
            </w:r>
            <w:r>
              <w:rPr>
                <w:rFonts w:hint="eastAsia"/>
                <w:color w:val="auto"/>
                <w:sz w:val="24"/>
                <w:szCs w:val="24"/>
                <w:highlight w:val="none"/>
                <w:lang w:val="en-US" w:eastAsia="zh-CN"/>
              </w:rPr>
              <w:t>0</w:t>
            </w:r>
            <w:r>
              <w:rPr>
                <w:rFonts w:hint="eastAsia"/>
                <w:color w:val="auto"/>
                <w:sz w:val="24"/>
                <w:szCs w:val="24"/>
                <w:highlight w:val="none"/>
                <w:lang w:val="en-US"/>
              </w:rPr>
              <w:t>-</w:t>
            </w:r>
            <w:r>
              <w:rPr>
                <w:rFonts w:hint="eastAsia"/>
                <w:color w:val="auto"/>
                <w:sz w:val="24"/>
                <w:szCs w:val="24"/>
                <w:highlight w:val="none"/>
                <w:lang w:val="en-US" w:eastAsia="zh-CN"/>
              </w:rPr>
              <w:t>1</w:t>
            </w:r>
            <w:r>
              <w:rPr>
                <w:rFonts w:hint="eastAsia"/>
                <w:color w:val="auto"/>
                <w:sz w:val="24"/>
                <w:szCs w:val="24"/>
                <w:highlight w:val="none"/>
                <w:lang w:val="en-US"/>
              </w:rPr>
              <w:t>分。</w:t>
            </w:r>
          </w:p>
        </w:tc>
      </w:tr>
      <w:tr w14:paraId="221BD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541" w:type="dxa"/>
            <w:vMerge w:val="continue"/>
            <w:vAlign w:val="top"/>
          </w:tcPr>
          <w:p w14:paraId="02649B42">
            <w:pPr>
              <w:snapToGrid w:val="0"/>
              <w:jc w:val="center"/>
              <w:textAlignment w:val="baseline"/>
              <w:rPr>
                <w:color w:val="auto"/>
                <w:sz w:val="24"/>
                <w:szCs w:val="24"/>
                <w:highlight w:val="none"/>
              </w:rPr>
            </w:pPr>
          </w:p>
        </w:tc>
        <w:tc>
          <w:tcPr>
            <w:tcW w:w="825" w:type="dxa"/>
            <w:vMerge w:val="continue"/>
            <w:vAlign w:val="top"/>
          </w:tcPr>
          <w:p w14:paraId="0D1C395D">
            <w:pPr>
              <w:snapToGrid w:val="0"/>
              <w:jc w:val="center"/>
              <w:textAlignment w:val="baseline"/>
              <w:rPr>
                <w:rFonts w:hint="eastAsia" w:ascii="宋体" w:hAnsi="宋体" w:eastAsia="宋体" w:cs="宋体"/>
                <w:color w:val="auto"/>
                <w:sz w:val="24"/>
                <w:szCs w:val="24"/>
                <w:highlight w:val="none"/>
                <w:lang w:val="zh-CN" w:eastAsia="zh-CN" w:bidi="zh-CN"/>
              </w:rPr>
            </w:pPr>
          </w:p>
        </w:tc>
        <w:tc>
          <w:tcPr>
            <w:tcW w:w="1173" w:type="dxa"/>
            <w:vMerge w:val="continue"/>
            <w:vAlign w:val="center"/>
          </w:tcPr>
          <w:p w14:paraId="7A5E183D">
            <w:pPr>
              <w:widowControl/>
              <w:snapToGrid w:val="0"/>
              <w:jc w:val="center"/>
              <w:textAlignment w:val="baseline"/>
              <w:rPr>
                <w:rFonts w:hint="eastAsia" w:ascii="宋体" w:hAnsi="宋体" w:eastAsia="宋体" w:cs="宋体"/>
                <w:color w:val="auto"/>
                <w:sz w:val="24"/>
                <w:szCs w:val="24"/>
                <w:highlight w:val="none"/>
                <w:lang w:val="zh-CN" w:eastAsia="zh-CN" w:bidi="zh-CN"/>
              </w:rPr>
            </w:pPr>
          </w:p>
        </w:tc>
        <w:tc>
          <w:tcPr>
            <w:tcW w:w="765" w:type="dxa"/>
            <w:vAlign w:val="center"/>
          </w:tcPr>
          <w:p w14:paraId="7DE3341E">
            <w:pPr>
              <w:widowControl/>
              <w:snapToGrid w:val="0"/>
              <w:jc w:val="center"/>
              <w:textAlignment w:val="baseline"/>
              <w:rPr>
                <w:rFonts w:hint="eastAsia" w:ascii="宋体" w:hAnsi="宋体" w:eastAsia="宋体" w:cs="宋体"/>
                <w:color w:val="auto"/>
                <w:sz w:val="24"/>
                <w:szCs w:val="24"/>
                <w:highlight w:val="none"/>
                <w:lang w:val="zh-CN" w:eastAsia="zh-CN" w:bidi="zh-CN"/>
              </w:rPr>
            </w:pPr>
            <w:r>
              <w:rPr>
                <w:rFonts w:hint="eastAsia"/>
                <w:sz w:val="24"/>
                <w:szCs w:val="24"/>
                <w:highlight w:val="none"/>
                <w:lang w:val="en-US" w:eastAsia="zh-CN"/>
              </w:rPr>
              <w:t>5</w:t>
            </w:r>
            <w:r>
              <w:rPr>
                <w:rFonts w:hint="eastAsia"/>
                <w:sz w:val="24"/>
                <w:szCs w:val="24"/>
                <w:highlight w:val="none"/>
              </w:rPr>
              <w:t>分</w:t>
            </w:r>
          </w:p>
        </w:tc>
        <w:tc>
          <w:tcPr>
            <w:tcW w:w="5988" w:type="dxa"/>
            <w:vAlign w:val="top"/>
          </w:tcPr>
          <w:p w14:paraId="621EA52C">
            <w:pPr>
              <w:widowControl/>
              <w:rPr>
                <w:rFonts w:hint="eastAsia"/>
                <w:color w:val="auto"/>
                <w:sz w:val="24"/>
                <w:szCs w:val="24"/>
                <w:highlight w:val="none"/>
              </w:rPr>
            </w:pPr>
            <w:r>
              <w:rPr>
                <w:rFonts w:hint="eastAsia"/>
                <w:color w:val="auto"/>
                <w:sz w:val="24"/>
                <w:szCs w:val="24"/>
                <w:highlight w:val="none"/>
              </w:rPr>
              <w:t>为确保后期的维护，投标人承诺在黄石或黄石周边（2 时内能赶到现场）有设立售后服务部门，有固定的常驻人员，能为用户免费提供长期不间断服务</w:t>
            </w:r>
            <w:r>
              <w:rPr>
                <w:rFonts w:hint="eastAsia"/>
                <w:color w:val="auto"/>
                <w:sz w:val="24"/>
                <w:szCs w:val="24"/>
                <w:highlight w:val="none"/>
                <w:lang w:eastAsia="zh-CN"/>
              </w:rPr>
              <w:t>，</w:t>
            </w:r>
            <w:r>
              <w:rPr>
                <w:rFonts w:hint="eastAsia"/>
                <w:color w:val="auto"/>
                <w:sz w:val="24"/>
                <w:szCs w:val="24"/>
                <w:highlight w:val="none"/>
                <w:lang w:val="en-US"/>
              </w:rPr>
              <w:t>并有处罚措施</w:t>
            </w:r>
            <w:r>
              <w:rPr>
                <w:rFonts w:hint="eastAsia"/>
                <w:color w:val="auto"/>
                <w:sz w:val="24"/>
                <w:szCs w:val="24"/>
                <w:highlight w:val="none"/>
                <w:lang w:val="en-US" w:eastAsia="zh-CN"/>
              </w:rPr>
              <w:t>的。</w:t>
            </w:r>
            <w:r>
              <w:rPr>
                <w:rFonts w:hint="eastAsia"/>
                <w:color w:val="auto"/>
                <w:sz w:val="24"/>
                <w:szCs w:val="24"/>
                <w:highlight w:val="none"/>
                <w:lang w:val="en-US"/>
              </w:rPr>
              <w:t xml:space="preserve">优 </w:t>
            </w:r>
            <w:r>
              <w:rPr>
                <w:rFonts w:hint="eastAsia"/>
                <w:color w:val="auto"/>
                <w:sz w:val="24"/>
                <w:szCs w:val="24"/>
                <w:highlight w:val="none"/>
                <w:lang w:val="en-US" w:eastAsia="zh-CN"/>
              </w:rPr>
              <w:t>4</w:t>
            </w:r>
            <w:r>
              <w:rPr>
                <w:rFonts w:hint="eastAsia"/>
                <w:color w:val="auto"/>
                <w:sz w:val="24"/>
                <w:szCs w:val="24"/>
                <w:highlight w:val="none"/>
                <w:lang w:val="en-US"/>
              </w:rPr>
              <w:t>-</w:t>
            </w:r>
            <w:r>
              <w:rPr>
                <w:rFonts w:hint="eastAsia"/>
                <w:color w:val="auto"/>
                <w:sz w:val="24"/>
                <w:szCs w:val="24"/>
                <w:highlight w:val="none"/>
                <w:lang w:val="en-US" w:eastAsia="zh-CN"/>
              </w:rPr>
              <w:t>5</w:t>
            </w:r>
            <w:r>
              <w:rPr>
                <w:rFonts w:hint="eastAsia"/>
                <w:color w:val="auto"/>
                <w:sz w:val="24"/>
                <w:szCs w:val="24"/>
                <w:highlight w:val="none"/>
                <w:lang w:val="en-US"/>
              </w:rPr>
              <w:t>分，良</w:t>
            </w:r>
            <w:r>
              <w:rPr>
                <w:rFonts w:hint="eastAsia"/>
                <w:color w:val="auto"/>
                <w:sz w:val="24"/>
                <w:szCs w:val="24"/>
                <w:highlight w:val="none"/>
                <w:lang w:val="en-US" w:eastAsia="zh-CN"/>
              </w:rPr>
              <w:t>2-3</w:t>
            </w:r>
            <w:r>
              <w:rPr>
                <w:rFonts w:hint="eastAsia"/>
                <w:color w:val="auto"/>
                <w:sz w:val="24"/>
                <w:szCs w:val="24"/>
                <w:highlight w:val="none"/>
                <w:lang w:val="en-US"/>
              </w:rPr>
              <w:t>分，一般</w:t>
            </w:r>
            <w:r>
              <w:rPr>
                <w:rFonts w:hint="eastAsia"/>
                <w:color w:val="auto"/>
                <w:sz w:val="24"/>
                <w:szCs w:val="24"/>
                <w:highlight w:val="none"/>
                <w:lang w:val="en-US" w:eastAsia="zh-CN"/>
              </w:rPr>
              <w:t>0</w:t>
            </w:r>
            <w:r>
              <w:rPr>
                <w:rFonts w:hint="eastAsia"/>
                <w:color w:val="auto"/>
                <w:sz w:val="24"/>
                <w:szCs w:val="24"/>
                <w:highlight w:val="none"/>
                <w:lang w:val="en-US"/>
              </w:rPr>
              <w:t>-</w:t>
            </w:r>
            <w:r>
              <w:rPr>
                <w:rFonts w:hint="eastAsia"/>
                <w:color w:val="auto"/>
                <w:sz w:val="24"/>
                <w:szCs w:val="24"/>
                <w:highlight w:val="none"/>
                <w:lang w:val="en-US" w:eastAsia="zh-CN"/>
              </w:rPr>
              <w:t>1</w:t>
            </w:r>
            <w:r>
              <w:rPr>
                <w:rFonts w:hint="eastAsia"/>
                <w:color w:val="auto"/>
                <w:sz w:val="24"/>
                <w:szCs w:val="24"/>
                <w:highlight w:val="none"/>
                <w:lang w:val="en-US"/>
              </w:rPr>
              <w:t>分。</w:t>
            </w:r>
          </w:p>
        </w:tc>
      </w:tr>
    </w:tbl>
    <w:p w14:paraId="136D6597">
      <w:pPr>
        <w:pStyle w:val="4"/>
        <w:snapToGrid w:val="0"/>
        <w:spacing w:line="460" w:lineRule="exact"/>
        <w:jc w:val="both"/>
        <w:textAlignment w:val="baseline"/>
        <w:rPr>
          <w:color w:val="auto"/>
          <w:sz w:val="24"/>
          <w:szCs w:val="24"/>
          <w:highlight w:val="none"/>
        </w:rPr>
      </w:pPr>
    </w:p>
    <w:p w14:paraId="1724B439">
      <w:pPr>
        <w:snapToGrid w:val="0"/>
        <w:spacing w:line="460" w:lineRule="exact"/>
        <w:ind w:firstLine="482" w:firstLineChars="200"/>
        <w:jc w:val="both"/>
        <w:textAlignment w:val="baseline"/>
        <w:rPr>
          <w:b/>
          <w:color w:val="auto"/>
          <w:sz w:val="24"/>
          <w:szCs w:val="24"/>
          <w:highlight w:val="none"/>
        </w:rPr>
      </w:pPr>
      <w:r>
        <w:rPr>
          <w:rFonts w:hint="eastAsia"/>
          <w:b/>
          <w:color w:val="auto"/>
          <w:sz w:val="24"/>
          <w:szCs w:val="24"/>
          <w:highlight w:val="none"/>
        </w:rPr>
        <w:t>三、计分办法</w:t>
      </w:r>
    </w:p>
    <w:p w14:paraId="2E1677DD">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（一）评标委员会按照招标文件的要求给投标人打分，并按下列公式确定各投标人的评定分数:</w:t>
      </w:r>
    </w:p>
    <w:p w14:paraId="3B925411">
      <w:pPr>
        <w:pStyle w:val="8"/>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 xml:space="preserve">    评定分数=商务标得分+技术标得分+价格部分得分</w:t>
      </w:r>
    </w:p>
    <w:p w14:paraId="3A297931">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（二）各投标人的最终得分为各评委所评定分数的算术平均值。</w:t>
      </w:r>
    </w:p>
    <w:p w14:paraId="1CFFF035">
      <w:pPr>
        <w:pStyle w:val="8"/>
        <w:tabs>
          <w:tab w:val="left" w:pos="1318"/>
        </w:tabs>
        <w:snapToGrid w:val="0"/>
        <w:spacing w:line="460" w:lineRule="exact"/>
        <w:ind w:left="0" w:firstLine="468" w:firstLineChars="200"/>
        <w:jc w:val="both"/>
        <w:textAlignment w:val="baseline"/>
        <w:rPr>
          <w:rFonts w:hint="eastAsia" w:eastAsia="宋体"/>
          <w:color w:val="auto"/>
          <w:spacing w:val="-3"/>
          <w:sz w:val="24"/>
          <w:szCs w:val="24"/>
          <w:highlight w:val="none"/>
          <w:lang w:eastAsia="zh-CN"/>
        </w:rPr>
      </w:pPr>
      <w:r>
        <w:rPr>
          <w:rFonts w:hint="eastAsia"/>
          <w:color w:val="auto"/>
          <w:spacing w:val="-3"/>
          <w:sz w:val="24"/>
          <w:szCs w:val="24"/>
          <w:highlight w:val="none"/>
        </w:rPr>
        <w:t xml:space="preserve">    （三）各项统计、评分结果均按四舍五入方法精确到小数点后二位。</w:t>
      </w:r>
    </w:p>
    <w:p w14:paraId="47490B02">
      <w:pPr>
        <w:pStyle w:val="8"/>
        <w:tabs>
          <w:tab w:val="left" w:pos="1318"/>
        </w:tabs>
        <w:snapToGrid w:val="0"/>
        <w:spacing w:line="460" w:lineRule="exact"/>
        <w:ind w:left="0" w:firstLine="468" w:firstLineChars="200"/>
        <w:jc w:val="both"/>
        <w:textAlignment w:val="baseline"/>
        <w:rPr>
          <w:color w:val="auto"/>
          <w:spacing w:val="-3"/>
          <w:sz w:val="24"/>
          <w:szCs w:val="24"/>
          <w:highlight w:val="none"/>
        </w:rPr>
      </w:pPr>
      <w:r>
        <w:rPr>
          <w:rFonts w:hint="eastAsia"/>
          <w:color w:val="auto"/>
          <w:spacing w:val="-3"/>
          <w:sz w:val="24"/>
          <w:szCs w:val="24"/>
          <w:highlight w:val="none"/>
        </w:rPr>
        <w:t xml:space="preserve">    （四）评标委员会根据投标人的最终得分,按高低次序确定投标人最终的排列名次，并按照招标文件中规定，推荐不超过三名有排序的合格的中标候选人。</w:t>
      </w:r>
    </w:p>
    <w:p w14:paraId="052D538A">
      <w:pPr>
        <w:pStyle w:val="2"/>
        <w:ind w:left="0" w:leftChars="0" w:firstLine="0" w:firstLineChars="0"/>
        <w:rPr>
          <w:rFonts w:ascii="黑体" w:hAnsi="黑体" w:eastAsia="黑体" w:cs="黑体"/>
          <w:b/>
          <w:color w:val="auto"/>
          <w:sz w:val="32"/>
          <w:highlight w:val="none"/>
        </w:rPr>
      </w:pPr>
      <w:bookmarkStart w:id="2" w:name="_GoBack"/>
      <w:bookmarkEnd w:id="2"/>
    </w:p>
    <w:p w14:paraId="5D650BC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80584F"/>
    <w:rsid w:val="78805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542" w:lineRule="exact"/>
      <w:ind w:right="34"/>
      <w:jc w:val="center"/>
      <w:outlineLvl w:val="0"/>
    </w:pPr>
    <w:rPr>
      <w:rFonts w:ascii="微软雅黑" w:hAnsi="微软雅黑" w:eastAsia="微软雅黑" w:cs="微软雅黑"/>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1"/>
    </w:rPr>
  </w:style>
  <w:style w:type="paragraph" w:styleId="4">
    <w:name w:val="Body Text"/>
    <w:basedOn w:val="1"/>
    <w:qFormat/>
    <w:uiPriority w:val="1"/>
    <w:rPr>
      <w:sz w:val="21"/>
      <w:szCs w:val="21"/>
    </w:rPr>
  </w:style>
  <w:style w:type="paragraph" w:customStyle="1" w:styleId="7">
    <w:name w:val="Table Paragraph"/>
    <w:basedOn w:val="1"/>
    <w:autoRedefine/>
    <w:qFormat/>
    <w:uiPriority w:val="1"/>
  </w:style>
  <w:style w:type="paragraph" w:styleId="8">
    <w:name w:val="List Paragraph"/>
    <w:basedOn w:val="1"/>
    <w:autoRedefine/>
    <w:qFormat/>
    <w:uiPriority w:val="1"/>
    <w:pPr>
      <w:ind w:left="579"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2025-07-18T08:54:00Z</dcterms:created>
  <dc:creator>Jade </dc:creator>
  <cp:lastModifiedBy>Jade </cp:lastModifiedBy>
  <dcterms:modified xsi:type="dcterms:W3CDTF">2025-07-18T08:54:17Z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E4B92EE630534B7195B7A78F1A79555D_11</vt:lpwstr>
  </property>
  <property fmtid="{D5CDD505-2E9C-101B-9397-08002B2CF9AE}" pid="4" name="KSOTemplateDocerSaveRecord">
    <vt:lpwstr>eyJoZGlkIjoiZDY2N2M0YWJhYWY5NDc5MzU2M2Q0ZDU4ZTBkMzMxNWQiLCJ1c2VySWQiOiI3MTkwMDU1MzcifQ==</vt:lpwstr>
  </property>
</Properties>
</file>