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CAD492">
      <w:pPr>
        <w:pStyle w:val="3"/>
        <w:spacing w:before="29" w:line="440" w:lineRule="exact"/>
        <w:ind w:left="0" w:right="18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附件3</w:t>
      </w:r>
    </w:p>
    <w:p w14:paraId="61BD642E">
      <w:pPr>
        <w:pStyle w:val="3"/>
        <w:spacing w:before="29" w:line="440" w:lineRule="exact"/>
        <w:ind w:left="0" w:right="18"/>
        <w:rPr>
          <w:sz w:val="28"/>
          <w:szCs w:val="28"/>
        </w:rPr>
      </w:pPr>
    </w:p>
    <w:tbl>
      <w:tblPr>
        <w:tblStyle w:val="4"/>
        <w:tblW w:w="943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155"/>
        <w:gridCol w:w="1002"/>
        <w:gridCol w:w="5970"/>
      </w:tblGrid>
      <w:tr w14:paraId="472E4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8E9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评分</w:t>
            </w:r>
          </w:p>
        </w:tc>
        <w:tc>
          <w:tcPr>
            <w:tcW w:w="21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A21B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评分因素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1E5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评分标准</w:t>
            </w:r>
            <w:bookmarkEnd w:id="0"/>
          </w:p>
        </w:tc>
      </w:tr>
      <w:tr w14:paraId="2131F0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30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916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技术</w:t>
            </w:r>
          </w:p>
          <w:p w14:paraId="2992AB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评分</w:t>
            </w:r>
          </w:p>
          <w:p w14:paraId="3DF7ED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0DA2D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工程概况</w:t>
            </w:r>
          </w:p>
          <w:p w14:paraId="2DAB7324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B1318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70503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结合本工程的特点描述准确、清晰的得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分；描述基本准确、清晰的得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 xml:space="preserve"> 分；描述不准确的不得分。 </w:t>
            </w:r>
          </w:p>
        </w:tc>
      </w:tr>
      <w:tr w14:paraId="43606A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BBD8F"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22070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工程方案</w:t>
            </w:r>
          </w:p>
          <w:p w14:paraId="2A001D19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81DFB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7F39B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基于现有方案设计，提供合理、先进的实施方案，施工设备及人员配合，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计划科学、合理、针对性强的得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8-10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分；合理、可行的得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6-8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 xml:space="preserve">分；不合理、不可行的不得分。 </w:t>
            </w:r>
          </w:p>
        </w:tc>
      </w:tr>
      <w:tr w14:paraId="0869D4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BCB88"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81115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施工进度计划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4B177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5分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70D13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安排的进度计划、工期安排有针对性、合理、可行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4-5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分；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基本可行3-4分，不可行不得分。</w:t>
            </w:r>
          </w:p>
        </w:tc>
      </w:tr>
      <w:tr w14:paraId="17C0D1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D9088"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CFE62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质量保障措施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65E34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956D1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质量保证体系完整，措施且具针对性和可行性，确保工程质量的技术组织措施，使用的新技术、新工艺须有简要描述说明，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措施优，针对性强的得4-5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分；基本可行的得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3-4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 xml:space="preserve">分；不合理、不可行的不得分。 </w:t>
            </w:r>
          </w:p>
        </w:tc>
      </w:tr>
      <w:tr w14:paraId="22B68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15E8D"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BD73F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施工准备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现场平面布置</w:t>
            </w:r>
          </w:p>
          <w:p w14:paraId="6F448A94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4A61B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042C9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施工程序、准备符合施工规程规范及施工现场条件的要求，施工现场布置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切合实际且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合理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科学、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细致、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针对性强的得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分；基本合理、可行的得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 xml:space="preserve">分；不合理、不可行的不得分。 </w:t>
            </w:r>
          </w:p>
        </w:tc>
      </w:tr>
      <w:tr w14:paraId="79923C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DFF29"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03019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确保安全生产与文明施工的</w:t>
            </w:r>
          </w:p>
          <w:p w14:paraId="29F3CFF6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技术组织措施</w:t>
            </w:r>
          </w:p>
          <w:p w14:paraId="4C027596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D193A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195D2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zh-TW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针对本项目的文明施工体系完整，有针对性和可行性，特别是施工期间的劳动安全、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消防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措施等。提供现场标识牌、围栏防护样式，计划详细组织措施描述清晰、详尽，管理措施具有可行性、可操作性的得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分；有组织措施且描述基本清晰的得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-4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 xml:space="preserve"> 分；组织措施描述不清晰，有明显缺陷的不得分。 </w:t>
            </w:r>
          </w:p>
        </w:tc>
      </w:tr>
      <w:tr w14:paraId="758D02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130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93A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商务</w:t>
            </w:r>
          </w:p>
          <w:p w14:paraId="58E035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评分</w:t>
            </w:r>
          </w:p>
          <w:p w14:paraId="29786AD7">
            <w:pPr>
              <w:jc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A0F22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类似业绩</w:t>
            </w:r>
          </w:p>
          <w:p w14:paraId="3CE6B3F4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EF3F7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71B35">
            <w:pPr>
              <w:widowControl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投标人近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年（20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22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月至今），承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担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过80万元及以上文保建筑修缮或文保建筑日常维护保养施工业绩，有2个得4分，每增加一个业绩加4分，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最高加1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分；</w:t>
            </w:r>
          </w:p>
          <w:p w14:paraId="07EEA4DC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需为已完工项目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（须提供中标通知书或合同且需提供完工验收证明文件，业绩以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合同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落款时间为准）。</w:t>
            </w:r>
          </w:p>
        </w:tc>
      </w:tr>
      <w:tr w14:paraId="2F66A6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D01EE">
            <w:pPr>
              <w:jc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B3F2C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项目经理</w:t>
            </w:r>
          </w:p>
          <w:p w14:paraId="50FC7515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68AB6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E783F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具有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文物保护从业资格证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得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分，项目经理具有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级职称的得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分；提供相关职称证明材料，未提供不得分；</w:t>
            </w:r>
          </w:p>
          <w:p w14:paraId="24B73C04">
            <w:pPr>
              <w:widowControl/>
              <w:numPr>
                <w:ilvl w:val="0"/>
                <w:numId w:val="1"/>
              </w:numPr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近3 年(20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22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月至投标截止日)承担过1项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文保建筑修缮或文保建筑日常维护保养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施工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业绩的，得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每增一个业绩加3分。需提供项目经理在本单位近六个月缴纳社保证明，否则不得分。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本项最多得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分。</w:t>
            </w:r>
          </w:p>
        </w:tc>
      </w:tr>
      <w:tr w14:paraId="42EEF5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62D56">
            <w:pPr>
              <w:jc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DDE44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人员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EE537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EE326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项目团队成员中有施工员、质量员、材料员、资料员和安全员，每个得2分，最多得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分，不具备的不得分。</w:t>
            </w:r>
          </w:p>
          <w:p w14:paraId="34B5947A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（投标人提供相关人员的职称证书或执业证书）</w:t>
            </w:r>
          </w:p>
          <w:p w14:paraId="6612C25B">
            <w:pPr>
              <w:pStyle w:val="6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需提供以上人员在本单位近六个月缴纳社保证明，否则不得分。</w:t>
            </w:r>
          </w:p>
        </w:tc>
      </w:tr>
      <w:tr w14:paraId="2827E7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2E249">
            <w:pPr>
              <w:jc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58064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信用情况</w:t>
            </w:r>
          </w:p>
          <w:p w14:paraId="78837F0E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E8AD9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2分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A1CC4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未收到建设行政监管部门做出的行政处罚的得2分；有一项扣1分，扣完为止。（查询结果以评标委员会开标当天在“信用中国”查询投标人有行政处罚记录信息且在公示期内的予以记分）不重复扣分，扣完为止。注：行政处罚是指投标人因违法经营受到刑事处罚或者责令停产、停业整顿、吊销许可证或者执照、较大数额罚款（在人民币5万元以上）等行政处罚。</w:t>
            </w:r>
          </w:p>
        </w:tc>
      </w:tr>
      <w:tr w14:paraId="2EF1B8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24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EDF8D">
            <w:pPr>
              <w:jc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highlight w:val="none"/>
              </w:rPr>
              <w:t>报价</w:t>
            </w:r>
          </w:p>
          <w:p w14:paraId="73686D7A">
            <w:pPr>
              <w:jc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highlight w:val="none"/>
              </w:rPr>
              <w:t>得分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E74FA">
            <w:pPr>
              <w:jc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highlight w:val="none"/>
              </w:rPr>
              <w:t>30分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73A6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新宋体"/>
                <w:snapToGrid/>
                <w:spacing w:val="8"/>
                <w:kern w:val="0"/>
                <w:sz w:val="21"/>
                <w:szCs w:val="21"/>
                <w:highlight w:val="none"/>
                <w:lang w:val="en-US" w:eastAsia="zh-CN" w:bidi="ar-SA"/>
              </w:rPr>
              <w:t>基准价为评审合格的投标人投标报价去掉一个最高价、一个最低价的平均值（少于或等于5家的，直接取平均值）。投标人报价比评标基准价每高出1%扣</w:t>
            </w:r>
            <w:r>
              <w:rPr>
                <w:rFonts w:hint="eastAsia" w:ascii="宋体" w:hAnsi="宋体" w:cs="新宋体"/>
                <w:snapToGrid/>
                <w:spacing w:val="8"/>
                <w:kern w:val="0"/>
                <w:sz w:val="21"/>
                <w:szCs w:val="21"/>
                <w:highlight w:val="none"/>
                <w:lang w:val="en-US" w:eastAsia="zh-CN" w:bidi="ar-SA"/>
              </w:rPr>
              <w:t>1</w:t>
            </w:r>
            <w:r>
              <w:rPr>
                <w:rFonts w:hint="eastAsia" w:ascii="宋体" w:hAnsi="宋体" w:eastAsia="宋体" w:cs="新宋体"/>
                <w:snapToGrid/>
                <w:spacing w:val="8"/>
                <w:kern w:val="0"/>
                <w:sz w:val="21"/>
                <w:szCs w:val="21"/>
                <w:highlight w:val="none"/>
                <w:lang w:val="en-US" w:eastAsia="zh-CN" w:bidi="ar-SA"/>
              </w:rPr>
              <w:t>分，扣完为止；投标人报价比评标基准价每低1%扣0.5分，扣完为止；由此得出各投标人的投标报价得分（保留小数点后两位数字，第三位四舍五入），投标价得分的计算方法：30-丨（评标基准价-投标人报价）/评标基准价丨×100×E，E取值</w:t>
            </w:r>
            <w:r>
              <w:rPr>
                <w:rFonts w:hint="eastAsia" w:ascii="宋体" w:hAnsi="宋体" w:cs="新宋体"/>
                <w:snapToGrid/>
                <w:spacing w:val="8"/>
                <w:kern w:val="0"/>
                <w:sz w:val="21"/>
                <w:szCs w:val="21"/>
                <w:highlight w:val="none"/>
                <w:lang w:val="en-US" w:eastAsia="zh-CN" w:bidi="ar-SA"/>
              </w:rPr>
              <w:t>1</w:t>
            </w:r>
            <w:r>
              <w:rPr>
                <w:rFonts w:hint="eastAsia" w:ascii="宋体" w:hAnsi="宋体" w:eastAsia="宋体" w:cs="新宋体"/>
                <w:snapToGrid/>
                <w:spacing w:val="8"/>
                <w:kern w:val="0"/>
                <w:sz w:val="21"/>
                <w:szCs w:val="21"/>
                <w:highlight w:val="none"/>
                <w:lang w:val="en-US" w:eastAsia="zh-CN" w:bidi="ar-SA"/>
              </w:rPr>
              <w:t>或0.5</w:t>
            </w:r>
            <w:r>
              <w:rPr>
                <w:rFonts w:hint="eastAsia" w:ascii="宋体" w:hAnsi="宋体" w:cs="新宋体"/>
                <w:snapToGrid/>
                <w:spacing w:val="8"/>
                <w:kern w:val="0"/>
                <w:sz w:val="21"/>
                <w:szCs w:val="21"/>
                <w:highlight w:val="none"/>
                <w:lang w:val="en-US" w:eastAsia="zh-CN" w:bidi="ar-SA"/>
              </w:rPr>
              <w:t>。</w:t>
            </w:r>
          </w:p>
        </w:tc>
      </w:tr>
    </w:tbl>
    <w:p w14:paraId="62307195">
      <w:pPr>
        <w:pStyle w:val="3"/>
        <w:spacing w:before="29" w:line="440" w:lineRule="exact"/>
        <w:ind w:left="0" w:right="18"/>
        <w:rPr>
          <w:rFonts w:hint="eastAsia"/>
          <w:lang w:val="en-US" w:eastAsia="zh-CN"/>
        </w:rPr>
      </w:pPr>
    </w:p>
    <w:p w14:paraId="15486ABA">
      <w:pPr>
        <w:pStyle w:val="3"/>
        <w:spacing w:before="29" w:line="440" w:lineRule="exact"/>
        <w:ind w:left="0" w:right="18"/>
        <w:rPr>
          <w:rFonts w:hint="eastAsia"/>
          <w:lang w:val="en-US" w:eastAsia="zh-CN"/>
        </w:rPr>
      </w:pPr>
    </w:p>
    <w:p w14:paraId="1A3A8409">
      <w:pPr>
        <w:pStyle w:val="3"/>
        <w:spacing w:before="29" w:line="440" w:lineRule="exact"/>
        <w:ind w:left="0" w:right="18"/>
        <w:rPr>
          <w:rFonts w:hint="eastAsia"/>
          <w:lang w:val="en-US" w:eastAsia="zh-CN"/>
        </w:rPr>
      </w:pPr>
    </w:p>
    <w:p w14:paraId="6F038305">
      <w:pPr>
        <w:pStyle w:val="3"/>
        <w:spacing w:before="29" w:line="440" w:lineRule="exact"/>
        <w:ind w:left="0" w:right="18"/>
        <w:rPr>
          <w:rFonts w:hint="eastAsia"/>
          <w:lang w:val="en-US" w:eastAsia="zh-CN"/>
        </w:rPr>
      </w:pPr>
    </w:p>
    <w:p w14:paraId="0D1615F8">
      <w:pPr>
        <w:pStyle w:val="3"/>
        <w:spacing w:before="29" w:line="440" w:lineRule="exact"/>
        <w:ind w:left="0" w:right="18"/>
        <w:rPr>
          <w:rFonts w:hint="eastAsia"/>
          <w:lang w:val="en-US" w:eastAsia="zh-CN"/>
        </w:rPr>
      </w:pPr>
    </w:p>
    <w:p w14:paraId="25038AA3">
      <w:pPr>
        <w:pStyle w:val="3"/>
        <w:spacing w:before="29" w:line="440" w:lineRule="exact"/>
        <w:ind w:left="0" w:right="18"/>
        <w:rPr>
          <w:rFonts w:hint="eastAsia"/>
          <w:lang w:val="en-US" w:eastAsia="zh-CN"/>
        </w:rPr>
      </w:pPr>
    </w:p>
    <w:p w14:paraId="1295AA8C">
      <w:pPr>
        <w:pStyle w:val="3"/>
        <w:spacing w:before="29" w:line="440" w:lineRule="exact"/>
        <w:ind w:left="0" w:right="18"/>
        <w:rPr>
          <w:rFonts w:hint="eastAsia"/>
          <w:lang w:val="en-US" w:eastAsia="zh-CN"/>
        </w:rPr>
      </w:pPr>
    </w:p>
    <w:p w14:paraId="781C970A">
      <w:pPr>
        <w:pStyle w:val="3"/>
        <w:spacing w:before="29" w:line="440" w:lineRule="exact"/>
        <w:ind w:left="0" w:right="18"/>
        <w:rPr>
          <w:rFonts w:hint="eastAsia"/>
          <w:lang w:val="en-US" w:eastAsia="zh-CN"/>
        </w:rPr>
      </w:pPr>
    </w:p>
    <w:p w14:paraId="657E29D5">
      <w:pPr>
        <w:pStyle w:val="3"/>
        <w:spacing w:before="29" w:line="440" w:lineRule="exact"/>
        <w:ind w:left="0" w:right="18"/>
        <w:rPr>
          <w:rFonts w:hint="eastAsia"/>
          <w:lang w:val="en-US" w:eastAsia="zh-CN"/>
        </w:rPr>
      </w:pPr>
    </w:p>
    <w:p w14:paraId="7CD278CE">
      <w:pPr>
        <w:pStyle w:val="3"/>
        <w:spacing w:before="29" w:line="440" w:lineRule="exact"/>
        <w:ind w:left="0" w:right="18"/>
        <w:rPr>
          <w:rFonts w:hint="eastAsia"/>
          <w:lang w:val="en-US" w:eastAsia="zh-CN"/>
        </w:rPr>
      </w:pPr>
    </w:p>
    <w:p w14:paraId="03FC4FD5">
      <w:pPr>
        <w:pStyle w:val="3"/>
        <w:spacing w:before="29" w:line="440" w:lineRule="exact"/>
        <w:ind w:left="0" w:right="18"/>
        <w:rPr>
          <w:rFonts w:hint="eastAsia"/>
          <w:lang w:val="en-US" w:eastAsia="zh-CN"/>
        </w:rPr>
      </w:pPr>
    </w:p>
    <w:p w14:paraId="055E479F">
      <w:pPr>
        <w:pStyle w:val="3"/>
        <w:spacing w:before="29" w:line="440" w:lineRule="exact"/>
        <w:ind w:left="0" w:right="18"/>
        <w:rPr>
          <w:rFonts w:hint="eastAsia"/>
          <w:lang w:val="en-US" w:eastAsia="zh-CN"/>
        </w:rPr>
      </w:pPr>
    </w:p>
    <w:p w14:paraId="6D82C73A">
      <w:pPr>
        <w:pStyle w:val="3"/>
        <w:spacing w:before="29" w:line="440" w:lineRule="exact"/>
        <w:ind w:left="0" w:right="18"/>
        <w:rPr>
          <w:rFonts w:hint="eastAsia"/>
          <w:lang w:val="en-US" w:eastAsia="zh-CN"/>
        </w:rPr>
      </w:pPr>
    </w:p>
    <w:p w14:paraId="0BC7FAB8">
      <w:pPr>
        <w:pStyle w:val="3"/>
        <w:spacing w:before="29" w:line="440" w:lineRule="exact"/>
        <w:ind w:left="0" w:right="18"/>
        <w:rPr>
          <w:rFonts w:hint="eastAsia"/>
          <w:lang w:val="en-US" w:eastAsia="zh-CN"/>
        </w:rPr>
      </w:pPr>
    </w:p>
    <w:p w14:paraId="103EA3E3">
      <w:pPr>
        <w:pStyle w:val="3"/>
        <w:spacing w:before="29" w:line="440" w:lineRule="exact"/>
        <w:ind w:left="0" w:right="18"/>
        <w:rPr>
          <w:rFonts w:hint="eastAsia"/>
          <w:lang w:val="en-US" w:eastAsia="zh-CN"/>
        </w:rPr>
      </w:pPr>
    </w:p>
    <w:p w14:paraId="2EC671F5">
      <w:pPr>
        <w:pStyle w:val="3"/>
        <w:spacing w:before="29" w:line="440" w:lineRule="exact"/>
        <w:ind w:left="0" w:right="18"/>
        <w:rPr>
          <w:rFonts w:hint="eastAsia"/>
          <w:lang w:val="en-US" w:eastAsia="zh-CN"/>
        </w:rPr>
      </w:pPr>
    </w:p>
    <w:p w14:paraId="71286506">
      <w:pPr>
        <w:pStyle w:val="3"/>
        <w:spacing w:before="29" w:line="440" w:lineRule="exact"/>
        <w:ind w:left="0" w:right="18"/>
        <w:rPr>
          <w:rFonts w:hint="eastAsia"/>
          <w:lang w:val="en-US" w:eastAsia="zh-CN"/>
        </w:rPr>
      </w:pPr>
    </w:p>
    <w:p w14:paraId="0495F661">
      <w:pPr>
        <w:pStyle w:val="3"/>
        <w:spacing w:before="29" w:line="440" w:lineRule="exact"/>
        <w:ind w:left="0" w:right="18"/>
        <w:rPr>
          <w:rFonts w:hint="eastAsia"/>
          <w:lang w:val="en-US" w:eastAsia="zh-CN"/>
        </w:rPr>
      </w:pPr>
    </w:p>
    <w:p w14:paraId="7264B635">
      <w:pPr>
        <w:pStyle w:val="3"/>
        <w:spacing w:before="29" w:line="440" w:lineRule="exact"/>
        <w:ind w:left="0" w:right="18"/>
        <w:rPr>
          <w:rFonts w:hint="eastAsia"/>
          <w:lang w:val="en-US" w:eastAsia="zh-CN"/>
        </w:rPr>
      </w:pPr>
    </w:p>
    <w:p w14:paraId="5D058090">
      <w:pPr>
        <w:pStyle w:val="3"/>
        <w:spacing w:before="29" w:line="440" w:lineRule="exact"/>
        <w:ind w:left="0" w:right="18"/>
        <w:rPr>
          <w:rFonts w:hint="eastAsia"/>
          <w:lang w:val="en-US" w:eastAsia="zh-CN"/>
        </w:rPr>
      </w:pPr>
    </w:p>
    <w:p w14:paraId="08EEE229">
      <w:pPr>
        <w:pStyle w:val="3"/>
        <w:spacing w:before="29" w:line="440" w:lineRule="exact"/>
        <w:ind w:left="0" w:right="18"/>
        <w:rPr>
          <w:rFonts w:hint="eastAsia"/>
          <w:lang w:val="en-US" w:eastAsia="zh-CN"/>
        </w:rPr>
      </w:pPr>
    </w:p>
    <w:p w14:paraId="495797B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3F4A92"/>
    <w:multiLevelType w:val="singleLevel"/>
    <w:tmpl w:val="FD3F4A9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117691"/>
    <w:rsid w:val="21117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before="0" w:after="120"/>
      <w:ind w:left="0" w:firstLine="420" w:firstLineChars="100"/>
    </w:pPr>
    <w:rPr>
      <w:rFonts w:ascii="Times New Roman" w:hAnsi="Times New Roman"/>
      <w:sz w:val="21"/>
    </w:rPr>
  </w:style>
  <w:style w:type="paragraph" w:styleId="3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paragraph" w:customStyle="1" w:styleId="6">
    <w:name w:val="段"/>
    <w:next w:val="1"/>
    <w:qFormat/>
    <w:uiPriority w:val="99"/>
    <w:pPr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2025-07-15T08:24:00Z</dcterms:created>
  <dc:creator>Jade </dc:creator>
  <cp:lastModifiedBy>Jade </cp:lastModifiedBy>
  <dcterms:modified xsi:type="dcterms:W3CDTF">2025-07-15T08:26:47Z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B528DB57BF7E407CA3F0B5D224AD2695_11</vt:lpwstr>
  </property>
  <property fmtid="{D5CDD505-2E9C-101B-9397-08002B2CF9AE}" pid="4" name="KSOTemplateDocerSaveRecord">
    <vt:lpwstr>eyJoZGlkIjoiZDY2N2M0YWJhYWY5NDc5MzU2M2Q0ZDU4ZTBkMzMxNWQiLCJ1c2VySWQiOiI3MTkwMDU1MzcifQ==</vt:lpwstr>
  </property>
</Properties>
</file>