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D8B76B">
      <w:pPr>
        <w:pStyle w:val="5"/>
        <w:widowControl w:val="0"/>
        <w:numPr>
          <w:ilvl w:val="0"/>
          <w:numId w:val="0"/>
        </w:numPr>
        <w:autoSpaceDE w:val="0"/>
        <w:autoSpaceDN w:val="0"/>
        <w:adjustRightInd w:val="0"/>
        <w:spacing w:after="0" w:line="240" w:lineRule="auto"/>
        <w:ind w:left="482" w:leftChars="0" w:firstLine="420" w:firstLineChars="200"/>
        <w:jc w:val="left"/>
        <w:outlineLvl w:val="0"/>
        <w:rPr>
          <w:rFonts w:hint="eastAsia" w:ascii="宋体" w:hAnsi="宋体"/>
          <w:b/>
          <w:bCs/>
          <w:kern w:val="44"/>
          <w:sz w:val="40"/>
          <w:szCs w:val="44"/>
          <w:highlight w:val="none"/>
        </w:rPr>
      </w:pPr>
      <w:bookmarkStart w:id="0" w:name="_Toc450902092"/>
      <w:bookmarkStart w:id="7" w:name="_GoBack"/>
      <w:r>
        <w:rPr>
          <w:rFonts w:hint="eastAsia"/>
          <w:szCs w:val="21"/>
          <w:highlight w:val="none"/>
          <w:lang w:eastAsia="zh-CN"/>
        </w:rPr>
        <w:t>附件</w:t>
      </w:r>
      <w:r>
        <w:rPr>
          <w:rFonts w:hint="eastAsia"/>
          <w:szCs w:val="21"/>
          <w:highlight w:val="none"/>
          <w:lang w:val="en-US" w:eastAsia="zh-CN"/>
        </w:rPr>
        <w:t>4</w:t>
      </w:r>
      <w:r>
        <w:rPr>
          <w:rFonts w:hint="eastAsia" w:ascii="宋体" w:hAnsi="宋体"/>
          <w:b/>
          <w:bCs/>
          <w:kern w:val="44"/>
          <w:sz w:val="40"/>
          <w:szCs w:val="44"/>
          <w:highlight w:val="none"/>
        </w:rPr>
        <w:t xml:space="preserve"> </w:t>
      </w:r>
      <w:bookmarkStart w:id="1" w:name="_Toc13603"/>
    </w:p>
    <w:p w14:paraId="1D5600D1">
      <w:pPr>
        <w:pStyle w:val="5"/>
        <w:widowControl w:val="0"/>
        <w:numPr>
          <w:ilvl w:val="0"/>
          <w:numId w:val="0"/>
        </w:numPr>
        <w:autoSpaceDE w:val="0"/>
        <w:autoSpaceDN w:val="0"/>
        <w:adjustRightInd w:val="0"/>
        <w:spacing w:after="0" w:line="240" w:lineRule="auto"/>
        <w:ind w:left="482" w:leftChars="0" w:firstLine="803" w:firstLineChars="200"/>
        <w:jc w:val="center"/>
        <w:outlineLvl w:val="0"/>
        <w:rPr>
          <w:rFonts w:hint="eastAsia" w:ascii="宋体" w:hAnsi="宋体"/>
          <w:b/>
          <w:bCs/>
          <w:kern w:val="44"/>
          <w:sz w:val="40"/>
          <w:szCs w:val="44"/>
          <w:highlight w:val="none"/>
        </w:rPr>
      </w:pPr>
      <w:r>
        <w:rPr>
          <w:rFonts w:hint="eastAsia" w:ascii="宋体" w:hAnsi="宋体"/>
          <w:b/>
          <w:bCs/>
          <w:kern w:val="44"/>
          <w:sz w:val="40"/>
          <w:szCs w:val="44"/>
          <w:highlight w:val="none"/>
        </w:rPr>
        <w:t>评标方法、步骤及标准</w:t>
      </w:r>
      <w:bookmarkEnd w:id="0"/>
      <w:bookmarkEnd w:id="1"/>
    </w:p>
    <w:bookmarkEnd w:id="7"/>
    <w:p w14:paraId="189F7E90">
      <w:pPr>
        <w:pStyle w:val="5"/>
        <w:widowControl w:val="0"/>
        <w:autoSpaceDE w:val="0"/>
        <w:autoSpaceDN w:val="0"/>
        <w:adjustRightInd w:val="0"/>
        <w:spacing w:after="0" w:line="240" w:lineRule="auto"/>
        <w:ind w:left="480" w:firstLine="0" w:firstLineChars="0"/>
        <w:jc w:val="both"/>
        <w:rPr>
          <w:rFonts w:hint="eastAsia" w:ascii="宋体" w:hAnsi="宋体"/>
          <w:b/>
          <w:bCs/>
          <w:kern w:val="44"/>
          <w:sz w:val="40"/>
          <w:szCs w:val="44"/>
          <w:highlight w:val="none"/>
        </w:rPr>
      </w:pPr>
    </w:p>
    <w:p w14:paraId="628CD1E8">
      <w:pPr>
        <w:widowControl w:val="0"/>
        <w:spacing w:line="500" w:lineRule="exact"/>
        <w:ind w:firstLine="0" w:firstLineChars="0"/>
        <w:rPr>
          <w:rFonts w:hint="eastAsia" w:ascii="Calibri" w:hAnsi="Calibri" w:cs="宋体"/>
          <w:b/>
          <w:kern w:val="2"/>
          <w:szCs w:val="24"/>
          <w:highlight w:val="none"/>
          <w:lang w:val="zh-CN"/>
        </w:rPr>
      </w:pPr>
      <w:bookmarkStart w:id="2" w:name="_Toc152045600"/>
      <w:bookmarkStart w:id="3" w:name="_Toc144974567"/>
      <w:bookmarkStart w:id="4" w:name="_Toc179632618"/>
      <w:bookmarkStart w:id="5" w:name="_Toc152042377"/>
      <w:r>
        <w:rPr>
          <w:rFonts w:hint="eastAsia" w:ascii="Calibri" w:hAnsi="Calibri" w:cs="宋体"/>
          <w:b/>
          <w:kern w:val="2"/>
          <w:szCs w:val="24"/>
          <w:highlight w:val="none"/>
          <w:lang w:val="en-US" w:eastAsia="zh-CN"/>
        </w:rPr>
        <w:t>一</w:t>
      </w:r>
      <w:r>
        <w:rPr>
          <w:rFonts w:hint="eastAsia" w:ascii="Calibri" w:hAnsi="Calibri" w:cs="宋体"/>
          <w:b/>
          <w:kern w:val="2"/>
          <w:szCs w:val="24"/>
          <w:highlight w:val="none"/>
        </w:rPr>
        <w:t>、</w:t>
      </w:r>
      <w:r>
        <w:rPr>
          <w:rFonts w:hint="eastAsia" w:ascii="Calibri" w:hAnsi="Calibri" w:cs="宋体"/>
          <w:b/>
          <w:kern w:val="2"/>
          <w:szCs w:val="24"/>
          <w:highlight w:val="none"/>
          <w:lang w:val="zh-CN"/>
        </w:rPr>
        <w:t>评</w:t>
      </w:r>
      <w:r>
        <w:rPr>
          <w:rFonts w:hint="eastAsia" w:ascii="Calibri" w:hAnsi="Calibri" w:cs="宋体"/>
          <w:b/>
          <w:kern w:val="2"/>
          <w:szCs w:val="24"/>
          <w:highlight w:val="none"/>
        </w:rPr>
        <w:t>分标准</w:t>
      </w:r>
    </w:p>
    <w:tbl>
      <w:tblPr>
        <w:tblStyle w:val="6"/>
        <w:tblW w:w="551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9"/>
        <w:gridCol w:w="1452"/>
        <w:gridCol w:w="6620"/>
        <w:gridCol w:w="761"/>
      </w:tblGrid>
      <w:tr w14:paraId="437FA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7" w:type="pct"/>
            <w:noWrap w:val="0"/>
            <w:vAlign w:val="center"/>
          </w:tcPr>
          <w:p w14:paraId="47430371">
            <w:pPr>
              <w:spacing w:line="300" w:lineRule="auto"/>
              <w:ind w:firstLine="0" w:firstLineChars="0"/>
              <w:rPr>
                <w:rFonts w:hint="eastAsia" w:cs="宋体"/>
                <w:b/>
                <w:bCs/>
                <w:sz w:val="21"/>
                <w:szCs w:val="21"/>
                <w:highlight w:val="none"/>
              </w:rPr>
            </w:pPr>
            <w:r>
              <w:rPr>
                <w:rFonts w:hint="eastAsia" w:cs="宋体"/>
                <w:b/>
                <w:bCs/>
                <w:sz w:val="21"/>
                <w:szCs w:val="21"/>
                <w:highlight w:val="none"/>
              </w:rPr>
              <w:t>序号</w:t>
            </w:r>
          </w:p>
        </w:tc>
        <w:tc>
          <w:tcPr>
            <w:tcW w:w="773" w:type="pct"/>
            <w:noWrap w:val="0"/>
            <w:vAlign w:val="center"/>
          </w:tcPr>
          <w:p w14:paraId="6BA22DC2">
            <w:pPr>
              <w:spacing w:line="300" w:lineRule="auto"/>
              <w:ind w:firstLine="0" w:firstLineChars="0"/>
              <w:jc w:val="center"/>
              <w:rPr>
                <w:rFonts w:hint="eastAsia" w:cs="宋体"/>
                <w:b/>
                <w:bCs/>
                <w:sz w:val="21"/>
                <w:szCs w:val="21"/>
                <w:highlight w:val="none"/>
              </w:rPr>
            </w:pPr>
            <w:r>
              <w:rPr>
                <w:rFonts w:hint="eastAsia" w:cs="宋体"/>
                <w:b/>
                <w:bCs/>
                <w:sz w:val="21"/>
                <w:szCs w:val="21"/>
                <w:highlight w:val="none"/>
              </w:rPr>
              <w:t>评分项目</w:t>
            </w:r>
          </w:p>
        </w:tc>
        <w:tc>
          <w:tcPr>
            <w:tcW w:w="3524" w:type="pct"/>
            <w:noWrap w:val="0"/>
            <w:vAlign w:val="center"/>
          </w:tcPr>
          <w:p w14:paraId="0D71134D">
            <w:pPr>
              <w:spacing w:line="300" w:lineRule="auto"/>
              <w:ind w:firstLine="0" w:firstLineChars="0"/>
              <w:jc w:val="center"/>
              <w:rPr>
                <w:rFonts w:hint="eastAsia" w:cs="宋体"/>
                <w:b/>
                <w:bCs/>
                <w:sz w:val="21"/>
                <w:szCs w:val="21"/>
                <w:highlight w:val="none"/>
              </w:rPr>
            </w:pPr>
            <w:r>
              <w:rPr>
                <w:rFonts w:hint="eastAsia" w:cs="宋体"/>
                <w:b/>
                <w:bCs/>
                <w:sz w:val="21"/>
                <w:szCs w:val="21"/>
                <w:highlight w:val="none"/>
              </w:rPr>
              <w:t>评分标准</w:t>
            </w:r>
          </w:p>
        </w:tc>
        <w:tc>
          <w:tcPr>
            <w:tcW w:w="405" w:type="pct"/>
            <w:noWrap w:val="0"/>
            <w:vAlign w:val="center"/>
          </w:tcPr>
          <w:p w14:paraId="06239989">
            <w:pPr>
              <w:spacing w:line="300" w:lineRule="auto"/>
              <w:ind w:firstLine="0" w:firstLineChars="0"/>
              <w:jc w:val="center"/>
              <w:rPr>
                <w:rFonts w:hint="eastAsia" w:cs="宋体"/>
                <w:b/>
                <w:bCs/>
                <w:sz w:val="21"/>
                <w:szCs w:val="21"/>
                <w:highlight w:val="none"/>
              </w:rPr>
            </w:pPr>
            <w:r>
              <w:rPr>
                <w:rFonts w:hint="eastAsia" w:cs="宋体"/>
                <w:b/>
                <w:bCs/>
                <w:sz w:val="21"/>
                <w:szCs w:val="21"/>
                <w:highlight w:val="none"/>
              </w:rPr>
              <w:t>分值</w:t>
            </w:r>
          </w:p>
        </w:tc>
      </w:tr>
      <w:tr w14:paraId="369E3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594" w:type="pct"/>
            <w:gridSpan w:val="3"/>
            <w:noWrap w:val="0"/>
            <w:vAlign w:val="center"/>
          </w:tcPr>
          <w:p w14:paraId="4FA3FB7C">
            <w:pPr>
              <w:spacing w:line="300" w:lineRule="auto"/>
              <w:ind w:firstLine="0" w:firstLineChars="0"/>
              <w:jc w:val="both"/>
              <w:rPr>
                <w:rFonts w:hint="eastAsia" w:cs="宋体"/>
                <w:b/>
                <w:bCs/>
                <w:sz w:val="21"/>
                <w:szCs w:val="21"/>
                <w:highlight w:val="none"/>
              </w:rPr>
            </w:pPr>
            <w:r>
              <w:rPr>
                <w:rFonts w:hint="eastAsia" w:cs="宋体"/>
                <w:b/>
                <w:bCs/>
                <w:sz w:val="21"/>
                <w:szCs w:val="21"/>
                <w:highlight w:val="none"/>
              </w:rPr>
              <w:t>报价部分30分</w:t>
            </w:r>
          </w:p>
        </w:tc>
        <w:tc>
          <w:tcPr>
            <w:tcW w:w="405" w:type="pct"/>
            <w:noWrap w:val="0"/>
            <w:vAlign w:val="center"/>
          </w:tcPr>
          <w:p w14:paraId="6E0F8D30">
            <w:pPr>
              <w:spacing w:line="300" w:lineRule="auto"/>
              <w:ind w:firstLine="420"/>
              <w:jc w:val="center"/>
              <w:rPr>
                <w:rFonts w:hint="eastAsia" w:cs="宋体"/>
                <w:sz w:val="21"/>
                <w:szCs w:val="21"/>
                <w:highlight w:val="none"/>
              </w:rPr>
            </w:pPr>
            <w:r>
              <w:rPr>
                <w:rFonts w:hint="eastAsia" w:cs="宋体"/>
                <w:sz w:val="21"/>
                <w:szCs w:val="21"/>
                <w:highlight w:val="none"/>
              </w:rPr>
              <w:t>　</w:t>
            </w:r>
          </w:p>
        </w:tc>
      </w:tr>
      <w:tr w14:paraId="15921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3" w:hRule="atLeast"/>
          <w:jc w:val="center"/>
        </w:trPr>
        <w:tc>
          <w:tcPr>
            <w:tcW w:w="297" w:type="pct"/>
            <w:noWrap w:val="0"/>
            <w:vAlign w:val="center"/>
          </w:tcPr>
          <w:p w14:paraId="0D2D78BF">
            <w:pPr>
              <w:spacing w:line="300" w:lineRule="auto"/>
              <w:ind w:firstLine="233" w:firstLineChars="111"/>
              <w:rPr>
                <w:rFonts w:hint="eastAsia" w:cs="宋体"/>
                <w:sz w:val="21"/>
                <w:szCs w:val="21"/>
                <w:highlight w:val="none"/>
              </w:rPr>
            </w:pPr>
            <w:r>
              <w:rPr>
                <w:rFonts w:hint="eastAsia" w:cs="宋体"/>
                <w:sz w:val="21"/>
                <w:szCs w:val="21"/>
                <w:highlight w:val="none"/>
              </w:rPr>
              <w:t>1</w:t>
            </w:r>
          </w:p>
        </w:tc>
        <w:tc>
          <w:tcPr>
            <w:tcW w:w="773" w:type="pct"/>
            <w:noWrap w:val="0"/>
            <w:vAlign w:val="center"/>
          </w:tcPr>
          <w:p w14:paraId="350FB5EE">
            <w:pPr>
              <w:spacing w:line="300" w:lineRule="auto"/>
              <w:ind w:firstLine="0" w:firstLineChars="0"/>
              <w:rPr>
                <w:rFonts w:hint="eastAsia" w:cs="宋体"/>
                <w:sz w:val="21"/>
                <w:szCs w:val="21"/>
                <w:highlight w:val="none"/>
              </w:rPr>
            </w:pPr>
            <w:r>
              <w:rPr>
                <w:rFonts w:hint="eastAsia" w:cs="宋体"/>
                <w:sz w:val="21"/>
                <w:szCs w:val="21"/>
                <w:highlight w:val="none"/>
              </w:rPr>
              <w:t>投标报价</w:t>
            </w:r>
          </w:p>
        </w:tc>
        <w:tc>
          <w:tcPr>
            <w:tcW w:w="3524" w:type="pct"/>
            <w:noWrap w:val="0"/>
            <w:vAlign w:val="center"/>
          </w:tcPr>
          <w:p w14:paraId="09DC8C80">
            <w:pPr>
              <w:spacing w:line="300" w:lineRule="auto"/>
              <w:ind w:firstLine="0" w:firstLineChars="0"/>
              <w:rPr>
                <w:rFonts w:hint="eastAsia" w:cs="宋体"/>
                <w:sz w:val="21"/>
                <w:szCs w:val="21"/>
                <w:highlight w:val="none"/>
              </w:rPr>
            </w:pPr>
            <w:r>
              <w:rPr>
                <w:rFonts w:hint="eastAsia" w:cs="宋体"/>
                <w:sz w:val="21"/>
                <w:szCs w:val="21"/>
                <w:highlight w:val="none"/>
              </w:rPr>
              <w:t>基准价为评审合格的投标人投标报价去掉一个最高价、一个最低价的平均值（少于5家的，直接取平均值）。投标人报价比评标基准价每高出1%扣1分，扣完为止；投标人报价比评标基准价每低1%扣0.5分，扣完为止；由此得出各投标人的投标报价得分（保留小数点后两位数字，第三位四舍五入），投标价得分的计算方法：30-丨（评标基准价-投标人报价）/评标基准价丨×100×E，E取值1或0.5。</w:t>
            </w:r>
          </w:p>
        </w:tc>
        <w:tc>
          <w:tcPr>
            <w:tcW w:w="405" w:type="pct"/>
            <w:noWrap w:val="0"/>
            <w:vAlign w:val="center"/>
          </w:tcPr>
          <w:p w14:paraId="402AD5EC">
            <w:pPr>
              <w:spacing w:line="300" w:lineRule="auto"/>
              <w:ind w:firstLine="0" w:firstLineChars="0"/>
              <w:jc w:val="center"/>
              <w:rPr>
                <w:rFonts w:hint="eastAsia" w:cs="宋体"/>
                <w:sz w:val="21"/>
                <w:szCs w:val="21"/>
                <w:highlight w:val="none"/>
              </w:rPr>
            </w:pPr>
            <w:r>
              <w:rPr>
                <w:rFonts w:hint="eastAsia" w:cs="宋体"/>
                <w:sz w:val="21"/>
                <w:szCs w:val="21"/>
                <w:highlight w:val="none"/>
              </w:rPr>
              <w:t>30</w:t>
            </w:r>
          </w:p>
        </w:tc>
      </w:tr>
      <w:tr w14:paraId="16D8A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4594" w:type="pct"/>
            <w:gridSpan w:val="3"/>
            <w:noWrap w:val="0"/>
            <w:vAlign w:val="center"/>
          </w:tcPr>
          <w:p w14:paraId="049D71A2">
            <w:pPr>
              <w:spacing w:line="300" w:lineRule="auto"/>
              <w:ind w:firstLine="0" w:firstLineChars="0"/>
              <w:rPr>
                <w:rFonts w:hint="eastAsia" w:cs="宋体"/>
                <w:b/>
                <w:bCs/>
                <w:sz w:val="21"/>
                <w:szCs w:val="21"/>
                <w:highlight w:val="none"/>
              </w:rPr>
            </w:pPr>
            <w:r>
              <w:rPr>
                <w:rFonts w:hint="eastAsia" w:cs="宋体"/>
                <w:b/>
                <w:bCs/>
                <w:sz w:val="21"/>
                <w:szCs w:val="21"/>
                <w:highlight w:val="none"/>
              </w:rPr>
              <w:t>商务部分</w:t>
            </w:r>
            <w:r>
              <w:rPr>
                <w:rFonts w:hint="eastAsia" w:cs="宋体"/>
                <w:b/>
                <w:bCs/>
                <w:sz w:val="21"/>
                <w:szCs w:val="21"/>
                <w:highlight w:val="none"/>
                <w:lang w:val="en-US" w:eastAsia="zh-CN"/>
              </w:rPr>
              <w:t>4</w:t>
            </w:r>
            <w:r>
              <w:rPr>
                <w:rFonts w:hint="eastAsia" w:cs="宋体"/>
                <w:b/>
                <w:bCs/>
                <w:sz w:val="21"/>
                <w:szCs w:val="21"/>
                <w:highlight w:val="none"/>
              </w:rPr>
              <w:t>0分</w:t>
            </w:r>
          </w:p>
        </w:tc>
        <w:tc>
          <w:tcPr>
            <w:tcW w:w="405" w:type="pct"/>
            <w:noWrap w:val="0"/>
            <w:vAlign w:val="center"/>
          </w:tcPr>
          <w:p w14:paraId="1AEA5830">
            <w:pPr>
              <w:spacing w:line="300" w:lineRule="auto"/>
              <w:ind w:firstLine="422"/>
              <w:jc w:val="center"/>
              <w:rPr>
                <w:rFonts w:hint="eastAsia" w:cs="宋体"/>
                <w:b/>
                <w:bCs/>
                <w:sz w:val="21"/>
                <w:szCs w:val="21"/>
                <w:highlight w:val="none"/>
              </w:rPr>
            </w:pPr>
          </w:p>
        </w:tc>
      </w:tr>
      <w:tr w14:paraId="2E46E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jc w:val="center"/>
        </w:trPr>
        <w:tc>
          <w:tcPr>
            <w:tcW w:w="297" w:type="pct"/>
            <w:noWrap w:val="0"/>
            <w:vAlign w:val="center"/>
          </w:tcPr>
          <w:p w14:paraId="54B25DEC">
            <w:pPr>
              <w:spacing w:line="300" w:lineRule="auto"/>
              <w:ind w:firstLine="233" w:firstLineChars="111"/>
              <w:rPr>
                <w:rFonts w:hint="eastAsia" w:cs="宋体"/>
                <w:sz w:val="21"/>
                <w:szCs w:val="21"/>
                <w:highlight w:val="none"/>
              </w:rPr>
            </w:pPr>
            <w:r>
              <w:rPr>
                <w:rFonts w:hint="eastAsia" w:cs="宋体"/>
                <w:sz w:val="21"/>
                <w:szCs w:val="21"/>
                <w:highlight w:val="none"/>
              </w:rPr>
              <w:t>1</w:t>
            </w:r>
          </w:p>
        </w:tc>
        <w:tc>
          <w:tcPr>
            <w:tcW w:w="773" w:type="pct"/>
            <w:noWrap w:val="0"/>
            <w:vAlign w:val="center"/>
          </w:tcPr>
          <w:p w14:paraId="5FCD7B2D">
            <w:pPr>
              <w:spacing w:line="300" w:lineRule="auto"/>
              <w:ind w:firstLine="0" w:firstLineChars="0"/>
              <w:jc w:val="center"/>
              <w:rPr>
                <w:rFonts w:hint="eastAsia" w:cs="宋体"/>
                <w:sz w:val="21"/>
                <w:szCs w:val="21"/>
                <w:highlight w:val="none"/>
              </w:rPr>
            </w:pPr>
            <w:r>
              <w:rPr>
                <w:rFonts w:hint="eastAsia" w:cs="宋体"/>
                <w:sz w:val="21"/>
                <w:szCs w:val="21"/>
                <w:highlight w:val="none"/>
              </w:rPr>
              <w:t>类似项目业绩</w:t>
            </w:r>
          </w:p>
        </w:tc>
        <w:tc>
          <w:tcPr>
            <w:tcW w:w="3524" w:type="pct"/>
            <w:noWrap w:val="0"/>
            <w:vAlign w:val="center"/>
          </w:tcPr>
          <w:p w14:paraId="12305E13">
            <w:pPr>
              <w:spacing w:line="300" w:lineRule="auto"/>
              <w:ind w:firstLine="0" w:firstLineChars="0"/>
              <w:rPr>
                <w:rFonts w:hint="eastAsia" w:cs="宋体"/>
                <w:sz w:val="21"/>
                <w:szCs w:val="21"/>
                <w:highlight w:val="none"/>
              </w:rPr>
            </w:pPr>
            <w:r>
              <w:rPr>
                <w:rFonts w:hint="eastAsia" w:cs="宋体"/>
                <w:sz w:val="21"/>
                <w:szCs w:val="21"/>
                <w:highlight w:val="none"/>
              </w:rPr>
              <w:t>近3 年</w:t>
            </w:r>
            <w:r>
              <w:rPr>
                <w:rFonts w:hint="eastAsia" w:cs="宋体"/>
                <w:sz w:val="21"/>
                <w:szCs w:val="21"/>
                <w:highlight w:val="none"/>
                <w:lang w:eastAsia="zh-CN"/>
              </w:rPr>
              <w:t>（</w:t>
            </w:r>
            <w:r>
              <w:rPr>
                <w:rFonts w:hint="eastAsia" w:cs="宋体"/>
                <w:sz w:val="21"/>
                <w:szCs w:val="21"/>
                <w:highlight w:val="none"/>
                <w:lang w:val="en-US" w:eastAsia="zh-CN"/>
              </w:rPr>
              <w:t>2022年1月1日至投标截止日</w:t>
            </w:r>
            <w:r>
              <w:rPr>
                <w:rFonts w:hint="eastAsia" w:cs="宋体"/>
                <w:sz w:val="21"/>
                <w:szCs w:val="21"/>
                <w:highlight w:val="none"/>
                <w:lang w:eastAsia="zh-CN"/>
              </w:rPr>
              <w:t>）</w:t>
            </w:r>
            <w:r>
              <w:rPr>
                <w:rFonts w:hint="eastAsia" w:cs="宋体"/>
                <w:sz w:val="21"/>
                <w:szCs w:val="21"/>
                <w:highlight w:val="none"/>
              </w:rPr>
              <w:t>承担过</w:t>
            </w:r>
            <w:r>
              <w:rPr>
                <w:rFonts w:hint="eastAsia" w:cs="宋体"/>
                <w:sz w:val="21"/>
                <w:szCs w:val="21"/>
                <w:highlight w:val="none"/>
                <w:lang w:val="en-US" w:eastAsia="zh-CN"/>
              </w:rPr>
              <w:t>1项合同价80万元以上的消防工程</w:t>
            </w:r>
            <w:r>
              <w:rPr>
                <w:rFonts w:hint="eastAsia" w:cs="宋体"/>
                <w:sz w:val="21"/>
                <w:szCs w:val="21"/>
                <w:highlight w:val="none"/>
              </w:rPr>
              <w:t>业绩得</w:t>
            </w:r>
            <w:r>
              <w:rPr>
                <w:rFonts w:hint="eastAsia" w:cs="宋体"/>
                <w:sz w:val="21"/>
                <w:szCs w:val="21"/>
                <w:highlight w:val="none"/>
                <w:lang w:val="en-US" w:eastAsia="zh-CN"/>
              </w:rPr>
              <w:t>3</w:t>
            </w:r>
            <w:r>
              <w:rPr>
                <w:rFonts w:hint="eastAsia" w:cs="宋体"/>
                <w:sz w:val="21"/>
                <w:szCs w:val="21"/>
                <w:highlight w:val="none"/>
              </w:rPr>
              <w:t>分，每增加一个加</w:t>
            </w:r>
            <w:r>
              <w:rPr>
                <w:rFonts w:hint="eastAsia" w:cs="宋体"/>
                <w:sz w:val="21"/>
                <w:szCs w:val="21"/>
                <w:highlight w:val="none"/>
                <w:lang w:val="en-US" w:eastAsia="zh-CN"/>
              </w:rPr>
              <w:t>3</w:t>
            </w:r>
            <w:r>
              <w:rPr>
                <w:rFonts w:hint="eastAsia" w:cs="宋体"/>
                <w:sz w:val="21"/>
                <w:szCs w:val="21"/>
                <w:highlight w:val="none"/>
              </w:rPr>
              <w:t>分，最多得</w:t>
            </w:r>
            <w:r>
              <w:rPr>
                <w:rFonts w:hint="eastAsia" w:cs="宋体"/>
                <w:sz w:val="21"/>
                <w:szCs w:val="21"/>
                <w:highlight w:val="none"/>
                <w:lang w:val="en-US" w:eastAsia="zh-CN"/>
              </w:rPr>
              <w:t>12</w:t>
            </w:r>
            <w:r>
              <w:rPr>
                <w:rFonts w:hint="eastAsia" w:cs="宋体"/>
                <w:sz w:val="21"/>
                <w:szCs w:val="21"/>
                <w:highlight w:val="none"/>
              </w:rPr>
              <w:t>分；</w:t>
            </w:r>
          </w:p>
          <w:p w14:paraId="68331087">
            <w:pPr>
              <w:spacing w:line="300" w:lineRule="auto"/>
              <w:ind w:firstLine="0" w:firstLineChars="0"/>
              <w:rPr>
                <w:rFonts w:hint="eastAsia" w:cs="宋体"/>
                <w:sz w:val="21"/>
                <w:szCs w:val="21"/>
                <w:highlight w:val="none"/>
              </w:rPr>
            </w:pPr>
            <w:r>
              <w:rPr>
                <w:rFonts w:hint="eastAsia" w:cs="宋体"/>
                <w:sz w:val="21"/>
                <w:szCs w:val="21"/>
                <w:highlight w:val="none"/>
                <w:lang w:val="en-US" w:eastAsia="zh-CN"/>
              </w:rPr>
              <w:t>类似</w:t>
            </w:r>
            <w:r>
              <w:rPr>
                <w:rFonts w:hint="eastAsia" w:cs="宋体"/>
                <w:sz w:val="21"/>
                <w:szCs w:val="21"/>
                <w:highlight w:val="none"/>
              </w:rPr>
              <w:t>业绩以合同的落款时间为准，提供合同或中标通知书或竣工验收证明等有效证明材料并加盖公章。</w:t>
            </w:r>
          </w:p>
        </w:tc>
        <w:tc>
          <w:tcPr>
            <w:tcW w:w="405" w:type="pct"/>
            <w:noWrap w:val="0"/>
            <w:vAlign w:val="center"/>
          </w:tcPr>
          <w:p w14:paraId="0EFB846C">
            <w:pPr>
              <w:spacing w:line="300" w:lineRule="auto"/>
              <w:ind w:firstLine="0" w:firstLineChars="0"/>
              <w:jc w:val="center"/>
              <w:rPr>
                <w:rFonts w:hint="default" w:eastAsia="宋体" w:cs="宋体"/>
                <w:sz w:val="21"/>
                <w:szCs w:val="21"/>
                <w:highlight w:val="none"/>
                <w:lang w:val="en-US" w:eastAsia="zh-CN"/>
              </w:rPr>
            </w:pPr>
            <w:r>
              <w:rPr>
                <w:rFonts w:hint="eastAsia" w:cs="宋体"/>
                <w:sz w:val="21"/>
                <w:szCs w:val="21"/>
                <w:highlight w:val="none"/>
                <w:lang w:val="en-US" w:eastAsia="zh-CN"/>
              </w:rPr>
              <w:t>12</w:t>
            </w:r>
          </w:p>
        </w:tc>
      </w:tr>
      <w:tr w14:paraId="1872D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97" w:type="pct"/>
            <w:noWrap w:val="0"/>
            <w:vAlign w:val="center"/>
          </w:tcPr>
          <w:p w14:paraId="11B7C053">
            <w:pPr>
              <w:spacing w:line="300" w:lineRule="auto"/>
              <w:ind w:firstLine="233" w:firstLineChars="111"/>
              <w:rPr>
                <w:rFonts w:cs="宋体"/>
                <w:sz w:val="21"/>
                <w:szCs w:val="21"/>
                <w:highlight w:val="none"/>
              </w:rPr>
            </w:pPr>
            <w:r>
              <w:rPr>
                <w:rFonts w:hint="eastAsia" w:cs="宋体"/>
                <w:sz w:val="21"/>
                <w:szCs w:val="21"/>
                <w:highlight w:val="none"/>
              </w:rPr>
              <w:t>2</w:t>
            </w:r>
          </w:p>
        </w:tc>
        <w:tc>
          <w:tcPr>
            <w:tcW w:w="773" w:type="pct"/>
            <w:noWrap w:val="0"/>
            <w:vAlign w:val="center"/>
          </w:tcPr>
          <w:p w14:paraId="456E00E0">
            <w:pPr>
              <w:spacing w:line="300" w:lineRule="auto"/>
              <w:ind w:firstLine="0" w:firstLineChars="0"/>
              <w:jc w:val="center"/>
              <w:rPr>
                <w:rFonts w:cs="宋体"/>
                <w:sz w:val="21"/>
                <w:szCs w:val="21"/>
                <w:highlight w:val="none"/>
              </w:rPr>
            </w:pPr>
            <w:r>
              <w:rPr>
                <w:rFonts w:hint="eastAsia" w:cs="宋体"/>
                <w:sz w:val="21"/>
                <w:szCs w:val="21"/>
                <w:highlight w:val="none"/>
              </w:rPr>
              <w:t>项目负责人</w:t>
            </w:r>
          </w:p>
        </w:tc>
        <w:tc>
          <w:tcPr>
            <w:tcW w:w="3524" w:type="pct"/>
            <w:noWrap w:val="0"/>
            <w:vAlign w:val="center"/>
          </w:tcPr>
          <w:p w14:paraId="249C329F">
            <w:pPr>
              <w:spacing w:line="300" w:lineRule="auto"/>
              <w:ind w:firstLine="0" w:firstLineChars="0"/>
              <w:rPr>
                <w:rFonts w:hint="eastAsia" w:eastAsia="宋体" w:cs="宋体"/>
                <w:sz w:val="21"/>
                <w:szCs w:val="21"/>
                <w:highlight w:val="none"/>
                <w:lang w:eastAsia="zh-CN"/>
              </w:rPr>
            </w:pPr>
            <w:r>
              <w:rPr>
                <w:rFonts w:hint="eastAsia" w:cs="宋体"/>
                <w:sz w:val="21"/>
                <w:szCs w:val="21"/>
                <w:highlight w:val="none"/>
              </w:rPr>
              <w:t>1、项目经理具有</w:t>
            </w:r>
            <w:r>
              <w:rPr>
                <w:rFonts w:hint="eastAsia" w:cs="宋体"/>
                <w:sz w:val="21"/>
                <w:szCs w:val="21"/>
                <w:highlight w:val="none"/>
                <w:lang w:val="en-US" w:eastAsia="zh-CN"/>
              </w:rPr>
              <w:t>工程相关</w:t>
            </w:r>
            <w:r>
              <w:rPr>
                <w:rFonts w:hint="eastAsia" w:cs="宋体"/>
                <w:sz w:val="21"/>
                <w:szCs w:val="21"/>
                <w:highlight w:val="none"/>
              </w:rPr>
              <w:t>中级</w:t>
            </w:r>
            <w:r>
              <w:rPr>
                <w:rFonts w:hint="eastAsia" w:cs="宋体"/>
                <w:sz w:val="21"/>
                <w:szCs w:val="21"/>
                <w:highlight w:val="none"/>
                <w:lang w:val="en-US" w:eastAsia="zh-CN"/>
              </w:rPr>
              <w:t>及以上</w:t>
            </w:r>
            <w:r>
              <w:rPr>
                <w:rFonts w:hint="eastAsia" w:cs="宋体"/>
                <w:sz w:val="21"/>
                <w:szCs w:val="21"/>
                <w:highlight w:val="none"/>
              </w:rPr>
              <w:t>职称的得2分；</w:t>
            </w:r>
          </w:p>
          <w:p w14:paraId="7C8F9A1C">
            <w:pPr>
              <w:spacing w:line="300" w:lineRule="auto"/>
              <w:ind w:firstLine="0" w:firstLineChars="0"/>
              <w:rPr>
                <w:rFonts w:cs="宋体"/>
                <w:sz w:val="21"/>
                <w:szCs w:val="21"/>
                <w:highlight w:val="none"/>
              </w:rPr>
            </w:pPr>
            <w:r>
              <w:rPr>
                <w:rFonts w:hint="eastAsia" w:cs="宋体"/>
                <w:sz w:val="21"/>
                <w:szCs w:val="21"/>
                <w:highlight w:val="none"/>
              </w:rPr>
              <w:t>2、近3 年</w:t>
            </w:r>
            <w:r>
              <w:rPr>
                <w:rFonts w:hint="eastAsia" w:cs="宋体"/>
                <w:sz w:val="21"/>
                <w:szCs w:val="21"/>
                <w:highlight w:val="none"/>
                <w:lang w:eastAsia="zh-CN"/>
              </w:rPr>
              <w:t>（</w:t>
            </w:r>
            <w:r>
              <w:rPr>
                <w:rFonts w:hint="eastAsia" w:cs="宋体"/>
                <w:sz w:val="21"/>
                <w:szCs w:val="21"/>
                <w:highlight w:val="none"/>
                <w:lang w:val="en-US" w:eastAsia="zh-CN"/>
              </w:rPr>
              <w:t>2022年6月1日至投标截止日</w:t>
            </w:r>
            <w:r>
              <w:rPr>
                <w:rFonts w:hint="eastAsia" w:cs="宋体"/>
                <w:sz w:val="21"/>
                <w:szCs w:val="21"/>
                <w:highlight w:val="none"/>
                <w:lang w:eastAsia="zh-CN"/>
              </w:rPr>
              <w:t>）</w:t>
            </w:r>
            <w:r>
              <w:rPr>
                <w:rFonts w:hint="eastAsia" w:cs="宋体"/>
                <w:sz w:val="21"/>
                <w:szCs w:val="21"/>
                <w:highlight w:val="none"/>
                <w:lang w:val="en-US" w:eastAsia="zh-CN"/>
              </w:rPr>
              <w:t>以项目经理（项目负责人）身份</w:t>
            </w:r>
            <w:r>
              <w:rPr>
                <w:rFonts w:hint="eastAsia" w:cs="宋体"/>
                <w:sz w:val="21"/>
                <w:szCs w:val="21"/>
                <w:highlight w:val="none"/>
              </w:rPr>
              <w:t>承担过1项</w:t>
            </w:r>
            <w:r>
              <w:rPr>
                <w:rFonts w:hint="eastAsia" w:cs="宋体"/>
                <w:sz w:val="21"/>
                <w:szCs w:val="21"/>
                <w:highlight w:val="none"/>
                <w:lang w:val="en-US" w:eastAsia="zh-CN"/>
              </w:rPr>
              <w:t>合同价80万元以上的消防工程</w:t>
            </w:r>
            <w:r>
              <w:rPr>
                <w:rFonts w:hint="eastAsia" w:cs="宋体"/>
                <w:sz w:val="21"/>
                <w:szCs w:val="21"/>
                <w:highlight w:val="none"/>
              </w:rPr>
              <w:t>业绩的，得</w:t>
            </w:r>
            <w:r>
              <w:rPr>
                <w:rFonts w:hint="eastAsia" w:cs="宋体"/>
                <w:sz w:val="21"/>
                <w:szCs w:val="21"/>
                <w:highlight w:val="none"/>
                <w:lang w:val="en-US" w:eastAsia="zh-CN"/>
              </w:rPr>
              <w:t>3</w:t>
            </w:r>
            <w:r>
              <w:rPr>
                <w:rFonts w:hint="eastAsia" w:cs="宋体"/>
                <w:sz w:val="21"/>
                <w:szCs w:val="21"/>
                <w:highlight w:val="none"/>
              </w:rPr>
              <w:t xml:space="preserve"> 分，本项最多得</w:t>
            </w:r>
            <w:r>
              <w:rPr>
                <w:rFonts w:hint="eastAsia" w:cs="宋体"/>
                <w:sz w:val="21"/>
                <w:szCs w:val="21"/>
                <w:highlight w:val="none"/>
                <w:lang w:val="en-US" w:eastAsia="zh-CN"/>
              </w:rPr>
              <w:t>6</w:t>
            </w:r>
            <w:r>
              <w:rPr>
                <w:rFonts w:hint="eastAsia" w:cs="宋体"/>
                <w:sz w:val="21"/>
                <w:szCs w:val="21"/>
                <w:highlight w:val="none"/>
              </w:rPr>
              <w:t>分；</w:t>
            </w:r>
          </w:p>
          <w:p w14:paraId="26E49903">
            <w:pPr>
              <w:spacing w:line="300" w:lineRule="auto"/>
              <w:ind w:firstLine="0" w:firstLineChars="0"/>
              <w:rPr>
                <w:rFonts w:cs="宋体"/>
                <w:sz w:val="21"/>
                <w:szCs w:val="21"/>
                <w:highlight w:val="none"/>
              </w:rPr>
            </w:pPr>
            <w:r>
              <w:rPr>
                <w:rFonts w:hint="eastAsia" w:cs="宋体"/>
                <w:sz w:val="21"/>
                <w:szCs w:val="21"/>
                <w:highlight w:val="none"/>
              </w:rPr>
              <w:t>类似</w:t>
            </w:r>
            <w:r>
              <w:rPr>
                <w:rFonts w:hint="eastAsia" w:cs="宋体"/>
                <w:sz w:val="21"/>
                <w:szCs w:val="21"/>
                <w:highlight w:val="none"/>
                <w:lang w:val="en-US" w:eastAsia="zh-CN"/>
              </w:rPr>
              <w:t>业绩</w:t>
            </w:r>
            <w:r>
              <w:rPr>
                <w:rFonts w:hint="eastAsia" w:cs="宋体"/>
                <w:sz w:val="21"/>
                <w:szCs w:val="21"/>
                <w:highlight w:val="none"/>
              </w:rPr>
              <w:t>以合同的落款时间为准，提供合同或中标通知书或竣工验收证明的证明材料，须显示有项目负责人名字；</w:t>
            </w:r>
          </w:p>
          <w:p w14:paraId="410396B6">
            <w:pPr>
              <w:spacing w:line="300" w:lineRule="auto"/>
              <w:ind w:firstLine="0" w:firstLineChars="0"/>
              <w:rPr>
                <w:rFonts w:hint="default" w:eastAsia="宋体" w:cs="宋体"/>
                <w:sz w:val="21"/>
                <w:szCs w:val="21"/>
                <w:highlight w:val="none"/>
                <w:lang w:val="en-US" w:eastAsia="zh-CN"/>
              </w:rPr>
            </w:pPr>
            <w:r>
              <w:rPr>
                <w:rFonts w:hint="eastAsia" w:cs="宋体"/>
                <w:sz w:val="21"/>
                <w:szCs w:val="21"/>
                <w:highlight w:val="none"/>
              </w:rPr>
              <w:t>3、技术负责人本科及以上学历得</w:t>
            </w:r>
            <w:r>
              <w:rPr>
                <w:rFonts w:hint="eastAsia" w:cs="宋体"/>
                <w:sz w:val="21"/>
                <w:szCs w:val="21"/>
                <w:highlight w:val="none"/>
                <w:lang w:val="en-US" w:eastAsia="zh-CN"/>
              </w:rPr>
              <w:t>1</w:t>
            </w:r>
            <w:r>
              <w:rPr>
                <w:rFonts w:hint="eastAsia" w:cs="宋体"/>
                <w:sz w:val="21"/>
                <w:szCs w:val="21"/>
                <w:highlight w:val="none"/>
              </w:rPr>
              <w:t>分，专科得</w:t>
            </w:r>
            <w:r>
              <w:rPr>
                <w:rFonts w:hint="eastAsia" w:cs="宋体"/>
                <w:sz w:val="21"/>
                <w:szCs w:val="21"/>
                <w:highlight w:val="none"/>
                <w:lang w:val="en-US" w:eastAsia="zh-CN"/>
              </w:rPr>
              <w:t>0.5</w:t>
            </w:r>
            <w:r>
              <w:rPr>
                <w:rFonts w:hint="eastAsia" w:cs="宋体"/>
                <w:sz w:val="21"/>
                <w:szCs w:val="21"/>
                <w:highlight w:val="none"/>
              </w:rPr>
              <w:t>分。</w:t>
            </w:r>
            <w:r>
              <w:rPr>
                <w:rFonts w:hint="eastAsia" w:cs="宋体"/>
                <w:sz w:val="21"/>
                <w:szCs w:val="21"/>
                <w:highlight w:val="none"/>
                <w:lang w:val="en-US" w:eastAsia="zh-CN"/>
              </w:rPr>
              <w:t>技术负责人必须具有中级及以上职称证书。</w:t>
            </w:r>
          </w:p>
          <w:p w14:paraId="52F74F26">
            <w:pPr>
              <w:spacing w:line="300" w:lineRule="auto"/>
              <w:ind w:firstLine="0" w:firstLineChars="0"/>
              <w:rPr>
                <w:rFonts w:cs="宋体"/>
                <w:sz w:val="21"/>
                <w:szCs w:val="21"/>
                <w:highlight w:val="none"/>
              </w:rPr>
            </w:pPr>
            <w:r>
              <w:rPr>
                <w:rFonts w:hint="eastAsia" w:cs="宋体"/>
                <w:sz w:val="21"/>
                <w:szCs w:val="21"/>
                <w:highlight w:val="none"/>
              </w:rPr>
              <w:t>（以上人员须提供近三个月社保交纳证明，否则不得分）</w:t>
            </w:r>
          </w:p>
        </w:tc>
        <w:tc>
          <w:tcPr>
            <w:tcW w:w="405" w:type="pct"/>
            <w:noWrap w:val="0"/>
            <w:vAlign w:val="center"/>
          </w:tcPr>
          <w:p w14:paraId="54F21339">
            <w:pPr>
              <w:spacing w:line="300" w:lineRule="auto"/>
              <w:ind w:firstLine="0" w:firstLineChars="0"/>
              <w:jc w:val="center"/>
              <w:rPr>
                <w:rFonts w:hint="default" w:eastAsia="宋体" w:cs="宋体"/>
                <w:sz w:val="21"/>
                <w:szCs w:val="21"/>
                <w:highlight w:val="none"/>
                <w:lang w:val="en-US" w:eastAsia="zh-CN"/>
              </w:rPr>
            </w:pPr>
            <w:r>
              <w:rPr>
                <w:rFonts w:hint="eastAsia" w:cs="宋体"/>
                <w:sz w:val="21"/>
                <w:szCs w:val="21"/>
                <w:highlight w:val="none"/>
                <w:lang w:val="en-US" w:eastAsia="zh-CN"/>
              </w:rPr>
              <w:t>10</w:t>
            </w:r>
          </w:p>
        </w:tc>
      </w:tr>
      <w:tr w14:paraId="6E83B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297" w:type="pct"/>
            <w:noWrap w:val="0"/>
            <w:vAlign w:val="center"/>
          </w:tcPr>
          <w:p w14:paraId="4010D62F">
            <w:pPr>
              <w:spacing w:line="300" w:lineRule="auto"/>
              <w:ind w:firstLine="233" w:firstLineChars="111"/>
              <w:rPr>
                <w:rFonts w:hint="eastAsia" w:cs="宋体"/>
                <w:sz w:val="21"/>
                <w:szCs w:val="21"/>
                <w:highlight w:val="none"/>
              </w:rPr>
            </w:pPr>
            <w:r>
              <w:rPr>
                <w:rFonts w:hint="eastAsia" w:cs="宋体"/>
                <w:sz w:val="21"/>
                <w:szCs w:val="21"/>
                <w:highlight w:val="none"/>
              </w:rPr>
              <w:t>3</w:t>
            </w:r>
          </w:p>
        </w:tc>
        <w:tc>
          <w:tcPr>
            <w:tcW w:w="773" w:type="pct"/>
            <w:noWrap w:val="0"/>
            <w:vAlign w:val="center"/>
          </w:tcPr>
          <w:p w14:paraId="42D2E907">
            <w:pPr>
              <w:spacing w:line="300" w:lineRule="auto"/>
              <w:ind w:firstLine="0" w:firstLineChars="0"/>
              <w:jc w:val="center"/>
              <w:rPr>
                <w:rFonts w:cs="宋体"/>
                <w:sz w:val="21"/>
                <w:szCs w:val="21"/>
                <w:highlight w:val="none"/>
              </w:rPr>
            </w:pPr>
            <w:r>
              <w:rPr>
                <w:rFonts w:hint="eastAsia" w:cs="宋体"/>
                <w:sz w:val="21"/>
                <w:szCs w:val="21"/>
                <w:highlight w:val="none"/>
              </w:rPr>
              <w:t>人员配备</w:t>
            </w:r>
          </w:p>
        </w:tc>
        <w:tc>
          <w:tcPr>
            <w:tcW w:w="3524" w:type="pct"/>
            <w:noWrap w:val="0"/>
            <w:vAlign w:val="center"/>
          </w:tcPr>
          <w:p w14:paraId="2A76FE4E">
            <w:pPr>
              <w:spacing w:line="300" w:lineRule="auto"/>
              <w:ind w:firstLine="0" w:firstLineChars="0"/>
              <w:rPr>
                <w:rFonts w:hint="eastAsia" w:eastAsia="宋体" w:cs="宋体"/>
                <w:sz w:val="21"/>
                <w:szCs w:val="21"/>
                <w:highlight w:val="none"/>
                <w:lang w:eastAsia="zh-CN"/>
              </w:rPr>
            </w:pPr>
            <w:r>
              <w:rPr>
                <w:rFonts w:hint="eastAsia" w:cs="宋体"/>
                <w:sz w:val="21"/>
                <w:szCs w:val="21"/>
                <w:highlight w:val="none"/>
              </w:rPr>
              <w:t>项目管理机构其他人员中具有中级及以上职称的（质量管理、施工管理、安全管理），每个加</w:t>
            </w:r>
            <w:r>
              <w:rPr>
                <w:rFonts w:hint="eastAsia" w:cs="宋体"/>
                <w:sz w:val="21"/>
                <w:szCs w:val="21"/>
                <w:highlight w:val="none"/>
                <w:lang w:val="en-US" w:eastAsia="zh-CN"/>
              </w:rPr>
              <w:t>3</w:t>
            </w:r>
            <w:r>
              <w:rPr>
                <w:rFonts w:hint="eastAsia" w:cs="宋体"/>
                <w:sz w:val="21"/>
                <w:szCs w:val="21"/>
                <w:highlight w:val="none"/>
              </w:rPr>
              <w:t>分，最多得</w:t>
            </w:r>
            <w:r>
              <w:rPr>
                <w:rFonts w:hint="eastAsia" w:cs="宋体"/>
                <w:sz w:val="21"/>
                <w:szCs w:val="21"/>
                <w:highlight w:val="none"/>
                <w:lang w:val="en-US" w:eastAsia="zh-CN"/>
              </w:rPr>
              <w:t>9</w:t>
            </w:r>
            <w:r>
              <w:rPr>
                <w:rFonts w:hint="eastAsia" w:cs="宋体"/>
                <w:sz w:val="21"/>
                <w:szCs w:val="21"/>
                <w:highlight w:val="none"/>
              </w:rPr>
              <w:t>分。需提供中级职称证扫描件，否则不予认可。</w:t>
            </w:r>
            <w:r>
              <w:rPr>
                <w:rFonts w:hint="eastAsia" w:cs="宋体"/>
                <w:sz w:val="21"/>
                <w:szCs w:val="21"/>
                <w:highlight w:val="none"/>
                <w:lang w:eastAsia="zh-CN"/>
              </w:rPr>
              <w:t>（</w:t>
            </w:r>
            <w:r>
              <w:rPr>
                <w:rFonts w:hint="eastAsia" w:cs="宋体"/>
                <w:sz w:val="21"/>
                <w:szCs w:val="21"/>
                <w:highlight w:val="none"/>
              </w:rPr>
              <w:t>提供近</w:t>
            </w:r>
            <w:r>
              <w:rPr>
                <w:rFonts w:hint="eastAsia" w:cs="宋体"/>
                <w:sz w:val="21"/>
                <w:szCs w:val="21"/>
                <w:highlight w:val="none"/>
                <w:lang w:val="en-US" w:eastAsia="zh-CN"/>
              </w:rPr>
              <w:t>三个月</w:t>
            </w:r>
            <w:r>
              <w:rPr>
                <w:rFonts w:hint="eastAsia" w:cs="宋体"/>
                <w:sz w:val="21"/>
                <w:szCs w:val="21"/>
                <w:highlight w:val="none"/>
              </w:rPr>
              <w:t>人员社保证明，否则不得分</w:t>
            </w:r>
            <w:r>
              <w:rPr>
                <w:rFonts w:hint="eastAsia" w:cs="宋体"/>
                <w:sz w:val="21"/>
                <w:szCs w:val="21"/>
                <w:highlight w:val="none"/>
                <w:lang w:eastAsia="zh-CN"/>
              </w:rPr>
              <w:t>）</w:t>
            </w:r>
          </w:p>
        </w:tc>
        <w:tc>
          <w:tcPr>
            <w:tcW w:w="405" w:type="pct"/>
            <w:noWrap w:val="0"/>
            <w:vAlign w:val="center"/>
          </w:tcPr>
          <w:p w14:paraId="7B956F2B">
            <w:pPr>
              <w:spacing w:line="300" w:lineRule="auto"/>
              <w:ind w:firstLine="0" w:firstLineChars="0"/>
              <w:jc w:val="center"/>
              <w:rPr>
                <w:rFonts w:hint="eastAsia" w:eastAsia="宋体" w:cs="宋体"/>
                <w:sz w:val="21"/>
                <w:szCs w:val="21"/>
                <w:highlight w:val="none"/>
                <w:lang w:eastAsia="zh-CN"/>
              </w:rPr>
            </w:pPr>
            <w:r>
              <w:rPr>
                <w:rFonts w:hint="eastAsia" w:cs="宋体"/>
                <w:sz w:val="21"/>
                <w:szCs w:val="21"/>
                <w:highlight w:val="none"/>
                <w:lang w:val="en-US" w:eastAsia="zh-CN"/>
              </w:rPr>
              <w:t>9</w:t>
            </w:r>
          </w:p>
        </w:tc>
      </w:tr>
      <w:tr w14:paraId="6A1B3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297" w:type="pct"/>
            <w:noWrap w:val="0"/>
            <w:vAlign w:val="center"/>
          </w:tcPr>
          <w:p w14:paraId="77CC002A">
            <w:pPr>
              <w:spacing w:line="300" w:lineRule="auto"/>
              <w:ind w:firstLine="233" w:firstLineChars="111"/>
              <w:rPr>
                <w:rFonts w:cs="宋体"/>
                <w:sz w:val="21"/>
                <w:szCs w:val="21"/>
                <w:highlight w:val="none"/>
              </w:rPr>
            </w:pPr>
            <w:r>
              <w:rPr>
                <w:rFonts w:hint="eastAsia" w:cs="宋体"/>
                <w:sz w:val="21"/>
                <w:szCs w:val="21"/>
                <w:highlight w:val="none"/>
              </w:rPr>
              <w:t>4</w:t>
            </w:r>
          </w:p>
        </w:tc>
        <w:tc>
          <w:tcPr>
            <w:tcW w:w="773" w:type="pct"/>
            <w:noWrap w:val="0"/>
            <w:vAlign w:val="center"/>
          </w:tcPr>
          <w:p w14:paraId="17D29589">
            <w:pPr>
              <w:spacing w:line="300" w:lineRule="auto"/>
              <w:ind w:firstLine="0" w:firstLineChars="0"/>
              <w:jc w:val="center"/>
              <w:rPr>
                <w:rFonts w:hint="eastAsia" w:cs="宋体"/>
                <w:sz w:val="21"/>
                <w:szCs w:val="21"/>
                <w:highlight w:val="none"/>
              </w:rPr>
            </w:pPr>
            <w:r>
              <w:rPr>
                <w:rFonts w:hint="eastAsia" w:cs="宋体"/>
                <w:sz w:val="21"/>
                <w:szCs w:val="21"/>
                <w:highlight w:val="none"/>
              </w:rPr>
              <w:t>企业</w:t>
            </w:r>
            <w:r>
              <w:rPr>
                <w:rFonts w:hint="eastAsia" w:cs="宋体"/>
                <w:sz w:val="21"/>
                <w:szCs w:val="21"/>
                <w:highlight w:val="none"/>
                <w:lang w:val="en-US" w:eastAsia="zh-CN"/>
              </w:rPr>
              <w:t>认证</w:t>
            </w:r>
            <w:r>
              <w:rPr>
                <w:rFonts w:hint="eastAsia" w:cs="宋体"/>
                <w:sz w:val="21"/>
                <w:szCs w:val="21"/>
                <w:highlight w:val="none"/>
              </w:rPr>
              <w:t>体系</w:t>
            </w:r>
          </w:p>
        </w:tc>
        <w:tc>
          <w:tcPr>
            <w:tcW w:w="3524" w:type="pct"/>
            <w:noWrap w:val="0"/>
            <w:vAlign w:val="center"/>
          </w:tcPr>
          <w:p w14:paraId="415E8191">
            <w:pPr>
              <w:spacing w:line="300" w:lineRule="auto"/>
              <w:ind w:firstLine="0" w:firstLineChars="0"/>
              <w:rPr>
                <w:rFonts w:cs="宋体"/>
                <w:sz w:val="21"/>
                <w:szCs w:val="21"/>
                <w:highlight w:val="none"/>
              </w:rPr>
            </w:pPr>
            <w:r>
              <w:rPr>
                <w:rFonts w:hint="eastAsia" w:cs="宋体"/>
                <w:sz w:val="21"/>
                <w:szCs w:val="21"/>
                <w:highlight w:val="none"/>
              </w:rPr>
              <w:t>投标人具有由国家认证认可的监督管理部门批准设立的认证机构颁发并在有效期内的认证证书：质量管理体系认证证书、环境管理体系认证证书、职业健康管理体系认证证书的，得</w:t>
            </w:r>
            <w:r>
              <w:rPr>
                <w:rFonts w:hint="eastAsia" w:cs="宋体"/>
                <w:sz w:val="21"/>
                <w:szCs w:val="21"/>
                <w:highlight w:val="none"/>
                <w:lang w:val="en-US" w:eastAsia="zh-CN"/>
              </w:rPr>
              <w:t>3</w:t>
            </w:r>
            <w:r>
              <w:rPr>
                <w:rFonts w:hint="eastAsia" w:cs="宋体"/>
                <w:sz w:val="21"/>
                <w:szCs w:val="21"/>
                <w:highlight w:val="none"/>
              </w:rPr>
              <w:t>分，缺项或无认证或不在有效期内的得 0 分。</w:t>
            </w:r>
            <w:r>
              <w:rPr>
                <w:rFonts w:hint="eastAsia" w:cs="宋体"/>
                <w:sz w:val="21"/>
                <w:szCs w:val="21"/>
                <w:highlight w:val="none"/>
                <w:lang w:val="en-US" w:eastAsia="zh-CN"/>
              </w:rPr>
              <w:t>（提供国家市场监督管理总局全国认证认可信息公共服务平台查询截图，否则不得分）</w:t>
            </w:r>
          </w:p>
        </w:tc>
        <w:tc>
          <w:tcPr>
            <w:tcW w:w="405" w:type="pct"/>
            <w:noWrap w:val="0"/>
            <w:vAlign w:val="center"/>
          </w:tcPr>
          <w:p w14:paraId="2A76ACDE">
            <w:pPr>
              <w:spacing w:line="300" w:lineRule="auto"/>
              <w:ind w:firstLine="0" w:firstLineChars="0"/>
              <w:jc w:val="center"/>
              <w:rPr>
                <w:rFonts w:cs="宋体"/>
                <w:sz w:val="21"/>
                <w:szCs w:val="21"/>
                <w:highlight w:val="none"/>
              </w:rPr>
            </w:pPr>
            <w:r>
              <w:rPr>
                <w:rFonts w:hint="eastAsia" w:cs="宋体"/>
                <w:sz w:val="21"/>
                <w:szCs w:val="21"/>
                <w:highlight w:val="none"/>
              </w:rPr>
              <w:t>3</w:t>
            </w:r>
          </w:p>
        </w:tc>
      </w:tr>
      <w:tr w14:paraId="1C9EE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97" w:type="pct"/>
            <w:noWrap w:val="0"/>
            <w:vAlign w:val="center"/>
          </w:tcPr>
          <w:p w14:paraId="415E269B">
            <w:pPr>
              <w:spacing w:line="300" w:lineRule="auto"/>
              <w:ind w:firstLine="233" w:firstLineChars="111"/>
              <w:rPr>
                <w:rFonts w:cs="宋体"/>
                <w:sz w:val="21"/>
                <w:szCs w:val="21"/>
                <w:highlight w:val="none"/>
              </w:rPr>
            </w:pPr>
            <w:r>
              <w:rPr>
                <w:rFonts w:hint="eastAsia" w:cs="宋体"/>
                <w:sz w:val="21"/>
                <w:szCs w:val="21"/>
                <w:highlight w:val="none"/>
              </w:rPr>
              <w:t>5</w:t>
            </w:r>
          </w:p>
        </w:tc>
        <w:tc>
          <w:tcPr>
            <w:tcW w:w="773" w:type="pct"/>
            <w:noWrap w:val="0"/>
            <w:vAlign w:val="center"/>
          </w:tcPr>
          <w:p w14:paraId="69712875">
            <w:pPr>
              <w:spacing w:line="300" w:lineRule="auto"/>
              <w:ind w:firstLine="0" w:firstLineChars="0"/>
              <w:jc w:val="center"/>
              <w:rPr>
                <w:rFonts w:hint="eastAsia" w:cs="宋体"/>
                <w:sz w:val="21"/>
                <w:szCs w:val="21"/>
                <w:highlight w:val="none"/>
              </w:rPr>
            </w:pPr>
            <w:r>
              <w:rPr>
                <w:rFonts w:hint="eastAsia" w:cs="宋体"/>
                <w:sz w:val="21"/>
                <w:szCs w:val="21"/>
                <w:highlight w:val="none"/>
              </w:rPr>
              <w:t>质保期</w:t>
            </w:r>
          </w:p>
        </w:tc>
        <w:tc>
          <w:tcPr>
            <w:tcW w:w="3524" w:type="pct"/>
            <w:noWrap w:val="0"/>
            <w:vAlign w:val="center"/>
          </w:tcPr>
          <w:p w14:paraId="4FA8FCFE">
            <w:pPr>
              <w:spacing w:line="300" w:lineRule="auto"/>
              <w:ind w:firstLine="0" w:firstLineChars="0"/>
              <w:rPr>
                <w:rFonts w:hint="eastAsia" w:cs="宋体"/>
                <w:sz w:val="21"/>
                <w:szCs w:val="21"/>
                <w:highlight w:val="none"/>
              </w:rPr>
            </w:pPr>
            <w:r>
              <w:rPr>
                <w:rFonts w:hint="eastAsia" w:cs="宋体"/>
                <w:sz w:val="21"/>
                <w:szCs w:val="21"/>
                <w:highlight w:val="none"/>
              </w:rPr>
              <w:t>质保期在国家规定的基础上，每延长一年得2 分，最高得6 分；投标人须提供承诺书。</w:t>
            </w:r>
          </w:p>
        </w:tc>
        <w:tc>
          <w:tcPr>
            <w:tcW w:w="405" w:type="pct"/>
            <w:noWrap w:val="0"/>
            <w:vAlign w:val="center"/>
          </w:tcPr>
          <w:p w14:paraId="2C47B0B5">
            <w:pPr>
              <w:spacing w:line="300" w:lineRule="auto"/>
              <w:ind w:firstLine="0" w:firstLineChars="0"/>
              <w:jc w:val="center"/>
              <w:rPr>
                <w:rFonts w:cs="宋体"/>
                <w:sz w:val="21"/>
                <w:szCs w:val="21"/>
                <w:highlight w:val="none"/>
              </w:rPr>
            </w:pPr>
            <w:r>
              <w:rPr>
                <w:rFonts w:hint="eastAsia" w:cs="宋体"/>
                <w:sz w:val="21"/>
                <w:szCs w:val="21"/>
                <w:highlight w:val="none"/>
              </w:rPr>
              <w:t>6</w:t>
            </w:r>
          </w:p>
        </w:tc>
      </w:tr>
      <w:tr w14:paraId="3D13A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4594" w:type="pct"/>
            <w:gridSpan w:val="3"/>
            <w:noWrap w:val="0"/>
            <w:vAlign w:val="center"/>
          </w:tcPr>
          <w:p w14:paraId="7692DD95">
            <w:pPr>
              <w:spacing w:line="300" w:lineRule="auto"/>
              <w:ind w:firstLine="0" w:firstLineChars="0"/>
              <w:rPr>
                <w:rFonts w:hint="eastAsia" w:cs="宋体"/>
                <w:b/>
                <w:bCs/>
                <w:sz w:val="21"/>
                <w:szCs w:val="21"/>
                <w:highlight w:val="none"/>
              </w:rPr>
            </w:pPr>
            <w:r>
              <w:rPr>
                <w:rFonts w:hint="eastAsia" w:cs="宋体"/>
                <w:b/>
                <w:bCs/>
                <w:sz w:val="21"/>
                <w:szCs w:val="21"/>
                <w:highlight w:val="none"/>
              </w:rPr>
              <w:t>技术部分</w:t>
            </w:r>
            <w:r>
              <w:rPr>
                <w:rFonts w:hint="eastAsia" w:cs="宋体"/>
                <w:b/>
                <w:bCs/>
                <w:sz w:val="21"/>
                <w:szCs w:val="21"/>
                <w:highlight w:val="none"/>
                <w:lang w:val="en-US" w:eastAsia="zh-CN"/>
              </w:rPr>
              <w:t>3</w:t>
            </w:r>
            <w:r>
              <w:rPr>
                <w:rFonts w:hint="eastAsia" w:cs="宋体"/>
                <w:b/>
                <w:bCs/>
                <w:sz w:val="21"/>
                <w:szCs w:val="21"/>
                <w:highlight w:val="none"/>
              </w:rPr>
              <w:t>0分</w:t>
            </w:r>
          </w:p>
        </w:tc>
        <w:tc>
          <w:tcPr>
            <w:tcW w:w="405" w:type="pct"/>
            <w:noWrap w:val="0"/>
            <w:vAlign w:val="center"/>
          </w:tcPr>
          <w:p w14:paraId="65CEC1BA">
            <w:pPr>
              <w:spacing w:line="300" w:lineRule="auto"/>
              <w:ind w:firstLine="420"/>
              <w:jc w:val="center"/>
              <w:rPr>
                <w:rFonts w:hint="eastAsia" w:cs="宋体"/>
                <w:sz w:val="21"/>
                <w:szCs w:val="21"/>
                <w:highlight w:val="none"/>
              </w:rPr>
            </w:pPr>
          </w:p>
        </w:tc>
      </w:tr>
      <w:tr w14:paraId="2345F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97" w:type="pct"/>
            <w:noWrap/>
            <w:vAlign w:val="bottom"/>
          </w:tcPr>
          <w:p w14:paraId="68A82478">
            <w:pPr>
              <w:spacing w:line="300" w:lineRule="auto"/>
              <w:ind w:firstLine="233" w:firstLineChars="111"/>
              <w:rPr>
                <w:rFonts w:hint="eastAsia" w:cs="宋体"/>
                <w:sz w:val="21"/>
                <w:szCs w:val="21"/>
                <w:highlight w:val="none"/>
              </w:rPr>
            </w:pPr>
            <w:r>
              <w:rPr>
                <w:rFonts w:hint="eastAsia" w:cs="宋体"/>
                <w:sz w:val="21"/>
                <w:szCs w:val="21"/>
                <w:highlight w:val="none"/>
              </w:rPr>
              <w:t>1</w:t>
            </w:r>
          </w:p>
        </w:tc>
        <w:tc>
          <w:tcPr>
            <w:tcW w:w="773" w:type="pct"/>
            <w:noWrap/>
            <w:vAlign w:val="center"/>
          </w:tcPr>
          <w:p w14:paraId="1F3204B8">
            <w:pPr>
              <w:spacing w:line="300" w:lineRule="auto"/>
              <w:ind w:firstLine="0" w:firstLineChars="0"/>
              <w:jc w:val="center"/>
              <w:rPr>
                <w:rFonts w:hint="eastAsia" w:cs="宋体"/>
                <w:sz w:val="21"/>
                <w:szCs w:val="21"/>
                <w:highlight w:val="none"/>
              </w:rPr>
            </w:pPr>
            <w:r>
              <w:rPr>
                <w:rFonts w:hint="eastAsia" w:cs="宋体"/>
                <w:sz w:val="21"/>
                <w:szCs w:val="21"/>
                <w:highlight w:val="none"/>
              </w:rPr>
              <w:t>工程概况</w:t>
            </w:r>
          </w:p>
          <w:p w14:paraId="0E583ADB">
            <w:pPr>
              <w:spacing w:line="300" w:lineRule="auto"/>
              <w:ind w:firstLine="0" w:firstLineChars="0"/>
              <w:jc w:val="center"/>
              <w:rPr>
                <w:rFonts w:hint="eastAsia" w:eastAsia="宋体" w:cs="宋体"/>
                <w:sz w:val="21"/>
                <w:szCs w:val="21"/>
                <w:highlight w:val="none"/>
                <w:lang w:eastAsia="zh-CN"/>
              </w:rPr>
            </w:pPr>
            <w:r>
              <w:rPr>
                <w:rFonts w:hint="eastAsia" w:cs="宋体"/>
                <w:sz w:val="21"/>
                <w:szCs w:val="21"/>
                <w:highlight w:val="none"/>
                <w:lang w:eastAsia="zh-CN"/>
              </w:rPr>
              <w:t>（</w:t>
            </w:r>
            <w:r>
              <w:rPr>
                <w:rFonts w:hint="eastAsia" w:cs="宋体"/>
                <w:sz w:val="21"/>
                <w:szCs w:val="21"/>
                <w:highlight w:val="none"/>
                <w:lang w:val="en-US" w:eastAsia="zh-CN"/>
              </w:rPr>
              <w:t>5分</w:t>
            </w:r>
            <w:r>
              <w:rPr>
                <w:rFonts w:hint="eastAsia" w:cs="宋体"/>
                <w:sz w:val="21"/>
                <w:szCs w:val="21"/>
                <w:highlight w:val="none"/>
                <w:lang w:eastAsia="zh-CN"/>
              </w:rPr>
              <w:t>）</w:t>
            </w:r>
          </w:p>
        </w:tc>
        <w:tc>
          <w:tcPr>
            <w:tcW w:w="3524" w:type="pct"/>
            <w:noWrap w:val="0"/>
            <w:vAlign w:val="center"/>
          </w:tcPr>
          <w:p w14:paraId="3AC2BF68">
            <w:pPr>
              <w:spacing w:line="300" w:lineRule="auto"/>
              <w:ind w:firstLine="0" w:firstLineChars="0"/>
              <w:rPr>
                <w:rFonts w:hint="eastAsia" w:cs="宋体"/>
                <w:sz w:val="21"/>
                <w:szCs w:val="21"/>
                <w:highlight w:val="none"/>
              </w:rPr>
            </w:pPr>
            <w:r>
              <w:rPr>
                <w:rFonts w:hint="eastAsia" w:cs="宋体"/>
                <w:sz w:val="21"/>
                <w:szCs w:val="21"/>
                <w:highlight w:val="none"/>
              </w:rPr>
              <w:t>投标人应对设计图纸及现场进行充分了解，能准确、清晰描述该项目主要工作内容及实施重难点的，得4-5 分；描述一般的得1-3 分；描述不准确、不清晰的不得分。</w:t>
            </w:r>
          </w:p>
        </w:tc>
        <w:tc>
          <w:tcPr>
            <w:tcW w:w="405" w:type="pct"/>
            <w:noWrap w:val="0"/>
            <w:vAlign w:val="center"/>
          </w:tcPr>
          <w:p w14:paraId="7309F839">
            <w:pPr>
              <w:spacing w:line="300" w:lineRule="auto"/>
              <w:ind w:firstLine="0" w:firstLineChars="0"/>
              <w:jc w:val="center"/>
              <w:rPr>
                <w:rFonts w:hint="eastAsia" w:cs="宋体"/>
                <w:sz w:val="21"/>
                <w:szCs w:val="21"/>
                <w:highlight w:val="none"/>
              </w:rPr>
            </w:pPr>
            <w:r>
              <w:rPr>
                <w:rFonts w:hint="eastAsia" w:cs="宋体"/>
                <w:sz w:val="21"/>
                <w:szCs w:val="21"/>
                <w:highlight w:val="none"/>
              </w:rPr>
              <w:t>5</w:t>
            </w:r>
          </w:p>
        </w:tc>
      </w:tr>
      <w:tr w14:paraId="3AAD0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97" w:type="pct"/>
            <w:noWrap/>
            <w:vAlign w:val="bottom"/>
          </w:tcPr>
          <w:p w14:paraId="40D08DF3">
            <w:pPr>
              <w:spacing w:line="300" w:lineRule="auto"/>
              <w:ind w:firstLine="233" w:firstLineChars="111"/>
              <w:rPr>
                <w:rFonts w:hint="eastAsia" w:cs="宋体"/>
                <w:sz w:val="21"/>
                <w:szCs w:val="21"/>
                <w:highlight w:val="none"/>
              </w:rPr>
            </w:pPr>
            <w:r>
              <w:rPr>
                <w:rFonts w:hint="eastAsia" w:cs="宋体"/>
                <w:sz w:val="21"/>
                <w:szCs w:val="21"/>
                <w:highlight w:val="none"/>
              </w:rPr>
              <w:t>2</w:t>
            </w:r>
          </w:p>
        </w:tc>
        <w:tc>
          <w:tcPr>
            <w:tcW w:w="773" w:type="pct"/>
            <w:vMerge w:val="restart"/>
            <w:noWrap/>
            <w:vAlign w:val="center"/>
          </w:tcPr>
          <w:p w14:paraId="2AD3DF0A">
            <w:pPr>
              <w:spacing w:line="300" w:lineRule="auto"/>
              <w:ind w:firstLine="0" w:firstLineChars="0"/>
              <w:jc w:val="center"/>
              <w:rPr>
                <w:rFonts w:hint="eastAsia" w:cs="宋体"/>
                <w:sz w:val="21"/>
                <w:szCs w:val="21"/>
                <w:highlight w:val="none"/>
              </w:rPr>
            </w:pPr>
            <w:r>
              <w:rPr>
                <w:rFonts w:hint="eastAsia" w:cs="宋体"/>
                <w:sz w:val="21"/>
                <w:szCs w:val="21"/>
                <w:highlight w:val="none"/>
              </w:rPr>
              <w:t>施工</w:t>
            </w:r>
          </w:p>
          <w:p w14:paraId="51073A24">
            <w:pPr>
              <w:spacing w:line="300" w:lineRule="auto"/>
              <w:ind w:firstLine="0" w:firstLineChars="0"/>
              <w:jc w:val="center"/>
              <w:rPr>
                <w:rFonts w:hint="eastAsia" w:cs="宋体"/>
                <w:sz w:val="21"/>
                <w:szCs w:val="21"/>
                <w:highlight w:val="none"/>
              </w:rPr>
            </w:pPr>
            <w:r>
              <w:rPr>
                <w:rFonts w:hint="eastAsia" w:cs="宋体"/>
                <w:sz w:val="21"/>
                <w:szCs w:val="21"/>
                <w:highlight w:val="none"/>
              </w:rPr>
              <w:t>方案</w:t>
            </w:r>
          </w:p>
          <w:p w14:paraId="4E0356EA">
            <w:pPr>
              <w:spacing w:line="300" w:lineRule="auto"/>
              <w:ind w:firstLine="0" w:firstLineChars="0"/>
              <w:jc w:val="center"/>
              <w:rPr>
                <w:rFonts w:hint="eastAsia" w:cs="宋体"/>
                <w:sz w:val="21"/>
                <w:szCs w:val="21"/>
                <w:highlight w:val="none"/>
              </w:rPr>
            </w:pPr>
            <w:r>
              <w:rPr>
                <w:rFonts w:hint="eastAsia" w:cs="宋体"/>
                <w:sz w:val="21"/>
                <w:szCs w:val="21"/>
                <w:highlight w:val="none"/>
              </w:rPr>
              <w:t>（</w:t>
            </w:r>
            <w:r>
              <w:rPr>
                <w:rFonts w:hint="eastAsia" w:cs="宋体"/>
                <w:sz w:val="21"/>
                <w:szCs w:val="21"/>
                <w:highlight w:val="none"/>
                <w:lang w:val="en-US" w:eastAsia="zh-CN"/>
              </w:rPr>
              <w:t>25</w:t>
            </w:r>
            <w:r>
              <w:rPr>
                <w:rFonts w:hint="eastAsia" w:cs="宋体"/>
                <w:sz w:val="21"/>
                <w:szCs w:val="21"/>
                <w:highlight w:val="none"/>
              </w:rPr>
              <w:t>分）</w:t>
            </w:r>
          </w:p>
        </w:tc>
        <w:tc>
          <w:tcPr>
            <w:tcW w:w="3524" w:type="pct"/>
            <w:noWrap w:val="0"/>
            <w:vAlign w:val="center"/>
          </w:tcPr>
          <w:p w14:paraId="3AF0511D">
            <w:pPr>
              <w:spacing w:line="300" w:lineRule="auto"/>
              <w:ind w:firstLine="0" w:firstLineChars="0"/>
              <w:rPr>
                <w:rFonts w:hint="eastAsia" w:cs="宋体"/>
                <w:sz w:val="21"/>
                <w:szCs w:val="21"/>
                <w:highlight w:val="none"/>
              </w:rPr>
            </w:pPr>
            <w:r>
              <w:rPr>
                <w:rFonts w:hint="eastAsia" w:cs="宋体"/>
                <w:sz w:val="21"/>
                <w:szCs w:val="21"/>
                <w:highlight w:val="none"/>
              </w:rPr>
              <w:t>对项目的实施有详细说明，方案合理、针对性强的得4-5 分；方案一般的得1-3 分；方案不合理的不得分。</w:t>
            </w:r>
          </w:p>
        </w:tc>
        <w:tc>
          <w:tcPr>
            <w:tcW w:w="405" w:type="pct"/>
            <w:noWrap w:val="0"/>
            <w:vAlign w:val="center"/>
          </w:tcPr>
          <w:p w14:paraId="1EEA202C">
            <w:pPr>
              <w:spacing w:line="300" w:lineRule="auto"/>
              <w:ind w:firstLine="0" w:firstLineChars="0"/>
              <w:jc w:val="center"/>
              <w:rPr>
                <w:rFonts w:hint="eastAsia" w:cs="宋体"/>
                <w:sz w:val="21"/>
                <w:szCs w:val="21"/>
                <w:highlight w:val="none"/>
              </w:rPr>
            </w:pPr>
            <w:r>
              <w:rPr>
                <w:rFonts w:hint="eastAsia" w:cs="宋体"/>
                <w:sz w:val="21"/>
                <w:szCs w:val="21"/>
                <w:highlight w:val="none"/>
              </w:rPr>
              <w:t>5</w:t>
            </w:r>
          </w:p>
        </w:tc>
      </w:tr>
      <w:tr w14:paraId="34FB7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97" w:type="pct"/>
            <w:noWrap/>
            <w:vAlign w:val="center"/>
          </w:tcPr>
          <w:p w14:paraId="57341A67">
            <w:pPr>
              <w:spacing w:line="300" w:lineRule="auto"/>
              <w:ind w:firstLine="233" w:firstLineChars="111"/>
              <w:rPr>
                <w:rFonts w:hint="eastAsia" w:cs="宋体"/>
                <w:sz w:val="21"/>
                <w:szCs w:val="21"/>
                <w:highlight w:val="none"/>
              </w:rPr>
            </w:pPr>
            <w:r>
              <w:rPr>
                <w:rFonts w:hint="eastAsia" w:cs="宋体"/>
                <w:sz w:val="21"/>
                <w:szCs w:val="21"/>
                <w:highlight w:val="none"/>
              </w:rPr>
              <w:t>3</w:t>
            </w:r>
          </w:p>
        </w:tc>
        <w:tc>
          <w:tcPr>
            <w:tcW w:w="773" w:type="pct"/>
            <w:vMerge w:val="continue"/>
            <w:noWrap/>
            <w:vAlign w:val="center"/>
          </w:tcPr>
          <w:p w14:paraId="07536BBC">
            <w:pPr>
              <w:spacing w:line="300" w:lineRule="auto"/>
              <w:ind w:firstLine="0" w:firstLineChars="0"/>
              <w:rPr>
                <w:rFonts w:hint="eastAsia" w:cs="宋体"/>
                <w:sz w:val="21"/>
                <w:szCs w:val="21"/>
                <w:highlight w:val="none"/>
              </w:rPr>
            </w:pPr>
          </w:p>
        </w:tc>
        <w:tc>
          <w:tcPr>
            <w:tcW w:w="3524" w:type="pct"/>
            <w:noWrap w:val="0"/>
            <w:vAlign w:val="center"/>
          </w:tcPr>
          <w:p w14:paraId="4F04B059">
            <w:pPr>
              <w:spacing w:line="300" w:lineRule="auto"/>
              <w:ind w:firstLine="0" w:firstLineChars="0"/>
              <w:rPr>
                <w:rFonts w:hint="eastAsia" w:cs="宋体"/>
                <w:sz w:val="21"/>
                <w:szCs w:val="21"/>
                <w:highlight w:val="none"/>
              </w:rPr>
            </w:pPr>
            <w:r>
              <w:rPr>
                <w:rFonts w:hint="eastAsia" w:cs="宋体"/>
                <w:sz w:val="21"/>
                <w:szCs w:val="21"/>
                <w:highlight w:val="none"/>
              </w:rPr>
              <w:t>对项目实施人员安排有详细说明，方案合理、针对性强的，得</w:t>
            </w:r>
            <w:r>
              <w:rPr>
                <w:rFonts w:hint="eastAsia" w:cs="宋体"/>
                <w:sz w:val="21"/>
                <w:szCs w:val="21"/>
                <w:highlight w:val="none"/>
                <w:lang w:val="en-US" w:eastAsia="zh-CN"/>
              </w:rPr>
              <w:t>3-4</w:t>
            </w:r>
            <w:r>
              <w:rPr>
                <w:rFonts w:hint="eastAsia" w:cs="宋体"/>
                <w:sz w:val="21"/>
                <w:szCs w:val="21"/>
                <w:highlight w:val="none"/>
              </w:rPr>
              <w:t>分；方案一般的得1-</w:t>
            </w:r>
            <w:r>
              <w:rPr>
                <w:rFonts w:hint="eastAsia" w:cs="宋体"/>
                <w:sz w:val="21"/>
                <w:szCs w:val="21"/>
                <w:highlight w:val="none"/>
                <w:lang w:val="en-US" w:eastAsia="zh-CN"/>
              </w:rPr>
              <w:t>2</w:t>
            </w:r>
            <w:r>
              <w:rPr>
                <w:rFonts w:hint="eastAsia" w:cs="宋体"/>
                <w:sz w:val="21"/>
                <w:szCs w:val="21"/>
                <w:highlight w:val="none"/>
              </w:rPr>
              <w:t xml:space="preserve"> 分；方案不合理的不得分。</w:t>
            </w:r>
          </w:p>
        </w:tc>
        <w:tc>
          <w:tcPr>
            <w:tcW w:w="405" w:type="pct"/>
            <w:noWrap w:val="0"/>
            <w:vAlign w:val="center"/>
          </w:tcPr>
          <w:p w14:paraId="0896DC90">
            <w:pPr>
              <w:spacing w:line="300" w:lineRule="auto"/>
              <w:ind w:firstLine="0" w:firstLineChars="0"/>
              <w:jc w:val="center"/>
              <w:rPr>
                <w:rFonts w:hint="eastAsia" w:eastAsia="宋体" w:cs="宋体"/>
                <w:sz w:val="21"/>
                <w:szCs w:val="21"/>
                <w:highlight w:val="none"/>
                <w:lang w:eastAsia="zh-CN"/>
              </w:rPr>
            </w:pPr>
            <w:r>
              <w:rPr>
                <w:rFonts w:hint="eastAsia" w:cs="宋体"/>
                <w:sz w:val="21"/>
                <w:szCs w:val="21"/>
                <w:highlight w:val="none"/>
                <w:lang w:val="en-US" w:eastAsia="zh-CN"/>
              </w:rPr>
              <w:t>4</w:t>
            </w:r>
          </w:p>
        </w:tc>
      </w:tr>
      <w:tr w14:paraId="59C03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97" w:type="pct"/>
            <w:noWrap/>
            <w:vAlign w:val="center"/>
          </w:tcPr>
          <w:p w14:paraId="4FDCB90D">
            <w:pPr>
              <w:spacing w:line="300" w:lineRule="auto"/>
              <w:ind w:firstLine="233" w:firstLineChars="111"/>
              <w:rPr>
                <w:rFonts w:hint="eastAsia" w:cs="宋体"/>
                <w:sz w:val="21"/>
                <w:szCs w:val="21"/>
                <w:highlight w:val="none"/>
              </w:rPr>
            </w:pPr>
            <w:r>
              <w:rPr>
                <w:rFonts w:hint="eastAsia" w:cs="宋体"/>
                <w:sz w:val="21"/>
                <w:szCs w:val="21"/>
                <w:highlight w:val="none"/>
              </w:rPr>
              <w:t>4</w:t>
            </w:r>
          </w:p>
        </w:tc>
        <w:tc>
          <w:tcPr>
            <w:tcW w:w="773" w:type="pct"/>
            <w:vMerge w:val="continue"/>
            <w:noWrap/>
            <w:vAlign w:val="center"/>
          </w:tcPr>
          <w:p w14:paraId="36C5B92C">
            <w:pPr>
              <w:spacing w:line="300" w:lineRule="auto"/>
              <w:ind w:firstLine="0" w:firstLineChars="0"/>
              <w:rPr>
                <w:rFonts w:hint="eastAsia" w:cs="宋体"/>
                <w:sz w:val="21"/>
                <w:szCs w:val="21"/>
                <w:highlight w:val="none"/>
              </w:rPr>
            </w:pPr>
          </w:p>
        </w:tc>
        <w:tc>
          <w:tcPr>
            <w:tcW w:w="3524" w:type="pct"/>
            <w:noWrap w:val="0"/>
            <w:vAlign w:val="center"/>
          </w:tcPr>
          <w:p w14:paraId="13B36985">
            <w:pPr>
              <w:spacing w:line="300" w:lineRule="auto"/>
              <w:ind w:firstLine="0" w:firstLineChars="0"/>
              <w:rPr>
                <w:rFonts w:hint="eastAsia" w:cs="宋体"/>
                <w:sz w:val="21"/>
                <w:szCs w:val="21"/>
                <w:highlight w:val="none"/>
              </w:rPr>
            </w:pPr>
            <w:r>
              <w:rPr>
                <w:rFonts w:hint="eastAsia" w:cs="宋体"/>
                <w:sz w:val="21"/>
                <w:szCs w:val="21"/>
                <w:highlight w:val="none"/>
              </w:rPr>
              <w:t>对项目实施过程中使用设备有详细说明，方案合理、针对性强的，得</w:t>
            </w:r>
            <w:r>
              <w:rPr>
                <w:rFonts w:hint="eastAsia" w:cs="宋体"/>
                <w:sz w:val="21"/>
                <w:szCs w:val="21"/>
                <w:highlight w:val="none"/>
                <w:lang w:val="en-US" w:eastAsia="zh-CN"/>
              </w:rPr>
              <w:t>2-3</w:t>
            </w:r>
            <w:r>
              <w:rPr>
                <w:rFonts w:hint="eastAsia" w:cs="宋体"/>
                <w:sz w:val="21"/>
                <w:szCs w:val="21"/>
                <w:highlight w:val="none"/>
              </w:rPr>
              <w:t>分；方案一般的得</w:t>
            </w:r>
            <w:r>
              <w:rPr>
                <w:rFonts w:hint="eastAsia" w:cs="宋体"/>
                <w:sz w:val="21"/>
                <w:szCs w:val="21"/>
                <w:highlight w:val="none"/>
                <w:lang w:val="en-US" w:eastAsia="zh-CN"/>
              </w:rPr>
              <w:t>0-1</w:t>
            </w:r>
            <w:r>
              <w:rPr>
                <w:rFonts w:hint="eastAsia" w:cs="宋体"/>
                <w:sz w:val="21"/>
                <w:szCs w:val="21"/>
                <w:highlight w:val="none"/>
              </w:rPr>
              <w:t>分；方案不合理的不得分。</w:t>
            </w:r>
          </w:p>
        </w:tc>
        <w:tc>
          <w:tcPr>
            <w:tcW w:w="405" w:type="pct"/>
            <w:noWrap w:val="0"/>
            <w:vAlign w:val="center"/>
          </w:tcPr>
          <w:p w14:paraId="173B8704">
            <w:pPr>
              <w:spacing w:line="300" w:lineRule="auto"/>
              <w:ind w:firstLine="0" w:firstLineChars="0"/>
              <w:jc w:val="center"/>
              <w:rPr>
                <w:rFonts w:hint="eastAsia" w:eastAsia="宋体" w:cs="宋体"/>
                <w:sz w:val="21"/>
                <w:szCs w:val="21"/>
                <w:highlight w:val="none"/>
                <w:lang w:eastAsia="zh-CN"/>
              </w:rPr>
            </w:pPr>
            <w:r>
              <w:rPr>
                <w:rFonts w:hint="eastAsia" w:cs="宋体"/>
                <w:sz w:val="21"/>
                <w:szCs w:val="21"/>
                <w:highlight w:val="none"/>
                <w:lang w:val="en-US" w:eastAsia="zh-CN"/>
              </w:rPr>
              <w:t>3</w:t>
            </w:r>
          </w:p>
        </w:tc>
      </w:tr>
      <w:tr w14:paraId="0800A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97" w:type="pct"/>
            <w:noWrap/>
            <w:vAlign w:val="center"/>
          </w:tcPr>
          <w:p w14:paraId="085D737F">
            <w:pPr>
              <w:spacing w:line="300" w:lineRule="auto"/>
              <w:ind w:firstLine="233" w:firstLineChars="111"/>
              <w:rPr>
                <w:rFonts w:hint="eastAsia" w:cs="宋体"/>
                <w:sz w:val="21"/>
                <w:szCs w:val="21"/>
                <w:highlight w:val="none"/>
              </w:rPr>
            </w:pPr>
            <w:r>
              <w:rPr>
                <w:rFonts w:hint="eastAsia" w:cs="宋体"/>
                <w:sz w:val="21"/>
                <w:szCs w:val="21"/>
                <w:highlight w:val="none"/>
              </w:rPr>
              <w:t>5</w:t>
            </w:r>
          </w:p>
        </w:tc>
        <w:tc>
          <w:tcPr>
            <w:tcW w:w="773" w:type="pct"/>
            <w:vMerge w:val="continue"/>
            <w:noWrap/>
            <w:vAlign w:val="center"/>
          </w:tcPr>
          <w:p w14:paraId="73C02929">
            <w:pPr>
              <w:spacing w:line="300" w:lineRule="auto"/>
              <w:ind w:firstLine="0" w:firstLineChars="0"/>
              <w:rPr>
                <w:rFonts w:hint="eastAsia" w:cs="宋体"/>
                <w:sz w:val="21"/>
                <w:szCs w:val="21"/>
                <w:highlight w:val="none"/>
              </w:rPr>
            </w:pPr>
          </w:p>
        </w:tc>
        <w:tc>
          <w:tcPr>
            <w:tcW w:w="3524" w:type="pct"/>
            <w:noWrap w:val="0"/>
            <w:vAlign w:val="center"/>
          </w:tcPr>
          <w:p w14:paraId="6635D2DD">
            <w:pPr>
              <w:spacing w:line="300" w:lineRule="auto"/>
              <w:ind w:firstLine="0" w:firstLineChars="0"/>
              <w:rPr>
                <w:rFonts w:hint="eastAsia" w:cs="宋体"/>
                <w:sz w:val="21"/>
                <w:szCs w:val="21"/>
                <w:highlight w:val="none"/>
              </w:rPr>
            </w:pPr>
            <w:r>
              <w:rPr>
                <w:rFonts w:hint="eastAsia" w:cs="宋体"/>
                <w:sz w:val="21"/>
                <w:szCs w:val="21"/>
                <w:highlight w:val="none"/>
              </w:rPr>
              <w:t>对施工期间安全文明影响因素考虑周全，技术组织措施完备的，得</w:t>
            </w:r>
            <w:r>
              <w:rPr>
                <w:rFonts w:hint="eastAsia" w:cs="宋体"/>
                <w:sz w:val="21"/>
                <w:szCs w:val="21"/>
                <w:highlight w:val="none"/>
                <w:lang w:val="en-US" w:eastAsia="zh-CN"/>
              </w:rPr>
              <w:t>2-3</w:t>
            </w:r>
            <w:r>
              <w:rPr>
                <w:rFonts w:hint="eastAsia" w:cs="宋体"/>
                <w:sz w:val="21"/>
                <w:szCs w:val="21"/>
                <w:highlight w:val="none"/>
              </w:rPr>
              <w:t xml:space="preserve"> 分；一般的得</w:t>
            </w:r>
            <w:r>
              <w:rPr>
                <w:rFonts w:hint="eastAsia" w:cs="宋体"/>
                <w:sz w:val="21"/>
                <w:szCs w:val="21"/>
                <w:highlight w:val="none"/>
                <w:lang w:val="en-US" w:eastAsia="zh-CN"/>
              </w:rPr>
              <w:t>0-1</w:t>
            </w:r>
            <w:r>
              <w:rPr>
                <w:rFonts w:hint="eastAsia" w:cs="宋体"/>
                <w:sz w:val="21"/>
                <w:szCs w:val="21"/>
                <w:highlight w:val="none"/>
              </w:rPr>
              <w:t xml:space="preserve"> 分；不合理的不得分。</w:t>
            </w:r>
          </w:p>
        </w:tc>
        <w:tc>
          <w:tcPr>
            <w:tcW w:w="405" w:type="pct"/>
            <w:noWrap w:val="0"/>
            <w:vAlign w:val="center"/>
          </w:tcPr>
          <w:p w14:paraId="529BF0D8">
            <w:pPr>
              <w:spacing w:line="300" w:lineRule="auto"/>
              <w:ind w:firstLine="0" w:firstLineChars="0"/>
              <w:jc w:val="center"/>
              <w:rPr>
                <w:rFonts w:hint="eastAsia" w:eastAsia="宋体" w:cs="宋体"/>
                <w:sz w:val="21"/>
                <w:szCs w:val="21"/>
                <w:highlight w:val="none"/>
                <w:lang w:eastAsia="zh-CN"/>
              </w:rPr>
            </w:pPr>
            <w:r>
              <w:rPr>
                <w:rFonts w:hint="eastAsia" w:cs="宋体"/>
                <w:sz w:val="21"/>
                <w:szCs w:val="21"/>
                <w:highlight w:val="none"/>
                <w:lang w:val="en-US" w:eastAsia="zh-CN"/>
              </w:rPr>
              <w:t>3</w:t>
            </w:r>
          </w:p>
        </w:tc>
      </w:tr>
      <w:tr w14:paraId="11FC4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97" w:type="pct"/>
            <w:noWrap/>
            <w:vAlign w:val="center"/>
          </w:tcPr>
          <w:p w14:paraId="5842E7C3">
            <w:pPr>
              <w:spacing w:line="300" w:lineRule="auto"/>
              <w:ind w:firstLine="233" w:firstLineChars="111"/>
              <w:rPr>
                <w:rFonts w:hint="eastAsia" w:cs="宋体"/>
                <w:sz w:val="21"/>
                <w:szCs w:val="21"/>
                <w:highlight w:val="none"/>
              </w:rPr>
            </w:pPr>
            <w:r>
              <w:rPr>
                <w:rFonts w:hint="eastAsia" w:cs="宋体"/>
                <w:sz w:val="21"/>
                <w:szCs w:val="21"/>
                <w:highlight w:val="none"/>
              </w:rPr>
              <w:t>6</w:t>
            </w:r>
          </w:p>
        </w:tc>
        <w:tc>
          <w:tcPr>
            <w:tcW w:w="773" w:type="pct"/>
            <w:vMerge w:val="continue"/>
            <w:noWrap/>
            <w:vAlign w:val="center"/>
          </w:tcPr>
          <w:p w14:paraId="1C7335BD">
            <w:pPr>
              <w:spacing w:line="300" w:lineRule="auto"/>
              <w:ind w:firstLine="0" w:firstLineChars="0"/>
              <w:rPr>
                <w:rFonts w:hint="eastAsia" w:cs="宋体"/>
                <w:sz w:val="21"/>
                <w:szCs w:val="21"/>
                <w:highlight w:val="none"/>
              </w:rPr>
            </w:pPr>
          </w:p>
        </w:tc>
        <w:tc>
          <w:tcPr>
            <w:tcW w:w="3524" w:type="pct"/>
            <w:noWrap w:val="0"/>
            <w:vAlign w:val="center"/>
          </w:tcPr>
          <w:p w14:paraId="127D32B4">
            <w:pPr>
              <w:spacing w:line="300" w:lineRule="auto"/>
              <w:ind w:firstLine="0" w:firstLineChars="0"/>
              <w:rPr>
                <w:rFonts w:hint="eastAsia" w:cs="宋体"/>
                <w:sz w:val="21"/>
                <w:szCs w:val="21"/>
                <w:highlight w:val="none"/>
              </w:rPr>
            </w:pPr>
            <w:r>
              <w:rPr>
                <w:rFonts w:hint="eastAsia" w:cs="宋体"/>
                <w:sz w:val="21"/>
                <w:szCs w:val="21"/>
                <w:highlight w:val="none"/>
              </w:rPr>
              <w:t>投标人应对施工期间相关协调、验收移交等工期影响因素进行充分考虑，进度保证措施完备的，得</w:t>
            </w:r>
            <w:r>
              <w:rPr>
                <w:rFonts w:hint="eastAsia" w:cs="宋体"/>
                <w:sz w:val="21"/>
                <w:szCs w:val="21"/>
                <w:highlight w:val="none"/>
                <w:lang w:val="en-US" w:eastAsia="zh-CN"/>
              </w:rPr>
              <w:t>2-3</w:t>
            </w:r>
            <w:r>
              <w:rPr>
                <w:rFonts w:hint="eastAsia" w:cs="宋体"/>
                <w:sz w:val="21"/>
                <w:szCs w:val="21"/>
                <w:highlight w:val="none"/>
              </w:rPr>
              <w:t xml:space="preserve"> 分；一般的</w:t>
            </w:r>
            <w:r>
              <w:rPr>
                <w:rFonts w:hint="eastAsia" w:cs="宋体"/>
                <w:sz w:val="21"/>
                <w:szCs w:val="21"/>
                <w:highlight w:val="none"/>
                <w:lang w:val="en-US" w:eastAsia="zh-CN"/>
              </w:rPr>
              <w:t>0-1</w:t>
            </w:r>
            <w:r>
              <w:rPr>
                <w:rFonts w:hint="eastAsia" w:cs="宋体"/>
                <w:sz w:val="21"/>
                <w:szCs w:val="21"/>
                <w:highlight w:val="none"/>
              </w:rPr>
              <w:t xml:space="preserve"> 分；不合理的不得分。</w:t>
            </w:r>
          </w:p>
        </w:tc>
        <w:tc>
          <w:tcPr>
            <w:tcW w:w="405" w:type="pct"/>
            <w:noWrap w:val="0"/>
            <w:vAlign w:val="center"/>
          </w:tcPr>
          <w:p w14:paraId="59E4A21F">
            <w:pPr>
              <w:spacing w:line="300" w:lineRule="auto"/>
              <w:ind w:firstLine="0" w:firstLineChars="0"/>
              <w:jc w:val="center"/>
              <w:rPr>
                <w:rFonts w:hint="eastAsia" w:eastAsia="宋体" w:cs="宋体"/>
                <w:sz w:val="21"/>
                <w:szCs w:val="21"/>
                <w:highlight w:val="none"/>
                <w:lang w:eastAsia="zh-CN"/>
              </w:rPr>
            </w:pPr>
            <w:r>
              <w:rPr>
                <w:rFonts w:hint="eastAsia" w:cs="宋体"/>
                <w:sz w:val="21"/>
                <w:szCs w:val="21"/>
                <w:highlight w:val="none"/>
                <w:lang w:val="en-US" w:eastAsia="zh-CN"/>
              </w:rPr>
              <w:t>3</w:t>
            </w:r>
          </w:p>
        </w:tc>
      </w:tr>
      <w:tr w14:paraId="65A8B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97" w:type="pct"/>
            <w:noWrap/>
            <w:vAlign w:val="center"/>
          </w:tcPr>
          <w:p w14:paraId="31FCEBB6">
            <w:pPr>
              <w:spacing w:line="300" w:lineRule="auto"/>
              <w:ind w:firstLine="233" w:firstLineChars="111"/>
              <w:rPr>
                <w:rFonts w:hint="eastAsia" w:cs="宋体"/>
                <w:sz w:val="21"/>
                <w:szCs w:val="21"/>
                <w:highlight w:val="none"/>
              </w:rPr>
            </w:pPr>
            <w:bookmarkStart w:id="6" w:name="_Toc12220"/>
            <w:r>
              <w:rPr>
                <w:rFonts w:hint="eastAsia" w:cs="宋体"/>
                <w:sz w:val="21"/>
                <w:szCs w:val="21"/>
                <w:highlight w:val="none"/>
              </w:rPr>
              <w:t>7</w:t>
            </w:r>
          </w:p>
        </w:tc>
        <w:tc>
          <w:tcPr>
            <w:tcW w:w="773" w:type="pct"/>
            <w:vMerge w:val="continue"/>
            <w:noWrap/>
            <w:vAlign w:val="center"/>
          </w:tcPr>
          <w:p w14:paraId="1678311A">
            <w:pPr>
              <w:spacing w:line="300" w:lineRule="auto"/>
              <w:ind w:firstLine="0" w:firstLineChars="0"/>
              <w:rPr>
                <w:rFonts w:hint="eastAsia" w:cs="宋体"/>
                <w:sz w:val="21"/>
                <w:szCs w:val="21"/>
                <w:highlight w:val="none"/>
              </w:rPr>
            </w:pPr>
          </w:p>
        </w:tc>
        <w:tc>
          <w:tcPr>
            <w:tcW w:w="3524" w:type="pct"/>
            <w:noWrap w:val="0"/>
            <w:vAlign w:val="center"/>
          </w:tcPr>
          <w:p w14:paraId="751FF046">
            <w:pPr>
              <w:spacing w:line="300" w:lineRule="auto"/>
              <w:ind w:firstLine="0" w:firstLineChars="0"/>
              <w:rPr>
                <w:rFonts w:hint="eastAsia" w:cs="宋体"/>
                <w:sz w:val="21"/>
                <w:szCs w:val="21"/>
                <w:highlight w:val="none"/>
              </w:rPr>
            </w:pPr>
            <w:r>
              <w:rPr>
                <w:rFonts w:hint="eastAsia" w:cs="宋体"/>
                <w:sz w:val="21"/>
                <w:szCs w:val="21"/>
                <w:highlight w:val="none"/>
              </w:rPr>
              <w:t>施工现场平面布置:现场布置合理</w:t>
            </w:r>
            <w:r>
              <w:rPr>
                <w:rFonts w:hint="eastAsia" w:cs="宋体"/>
                <w:sz w:val="21"/>
                <w:szCs w:val="21"/>
                <w:highlight w:val="none"/>
                <w:lang w:val="en-US" w:eastAsia="zh-CN"/>
              </w:rPr>
              <w:t>2-3</w:t>
            </w:r>
            <w:r>
              <w:rPr>
                <w:rFonts w:hint="eastAsia" w:cs="宋体"/>
                <w:sz w:val="21"/>
                <w:szCs w:val="21"/>
                <w:highlight w:val="none"/>
              </w:rPr>
              <w:t xml:space="preserve"> 分；内容完备，</w:t>
            </w:r>
            <w:r>
              <w:rPr>
                <w:rFonts w:hint="eastAsia" w:cs="宋体"/>
                <w:sz w:val="21"/>
                <w:szCs w:val="21"/>
                <w:highlight w:val="none"/>
                <w:lang w:val="en-US" w:eastAsia="zh-CN"/>
              </w:rPr>
              <w:t>基本</w:t>
            </w:r>
            <w:r>
              <w:rPr>
                <w:rFonts w:hint="eastAsia" w:cs="宋体"/>
                <w:sz w:val="21"/>
                <w:szCs w:val="21"/>
                <w:highlight w:val="none"/>
              </w:rPr>
              <w:t>可行</w:t>
            </w:r>
            <w:r>
              <w:rPr>
                <w:rFonts w:hint="eastAsia" w:cs="宋体"/>
                <w:sz w:val="21"/>
                <w:szCs w:val="21"/>
                <w:highlight w:val="none"/>
                <w:lang w:val="en-US" w:eastAsia="zh-CN"/>
              </w:rPr>
              <w:t>0-1</w:t>
            </w:r>
            <w:r>
              <w:rPr>
                <w:rFonts w:hint="eastAsia" w:cs="宋体"/>
                <w:sz w:val="21"/>
                <w:szCs w:val="21"/>
                <w:highlight w:val="none"/>
              </w:rPr>
              <w:t xml:space="preserve">分; </w:t>
            </w:r>
            <w:r>
              <w:rPr>
                <w:rFonts w:hint="eastAsia" w:cs="宋体"/>
                <w:sz w:val="21"/>
                <w:szCs w:val="21"/>
                <w:highlight w:val="none"/>
                <w:lang w:val="en-US" w:eastAsia="zh-CN"/>
              </w:rPr>
              <w:t>不</w:t>
            </w:r>
            <w:r>
              <w:rPr>
                <w:rFonts w:hint="eastAsia" w:cs="宋体"/>
                <w:sz w:val="21"/>
                <w:szCs w:val="21"/>
                <w:highlight w:val="none"/>
              </w:rPr>
              <w:t>合理的不得分；</w:t>
            </w:r>
          </w:p>
        </w:tc>
        <w:tc>
          <w:tcPr>
            <w:tcW w:w="405" w:type="pct"/>
            <w:noWrap w:val="0"/>
            <w:vAlign w:val="center"/>
          </w:tcPr>
          <w:p w14:paraId="77DF253F">
            <w:pPr>
              <w:spacing w:line="300" w:lineRule="auto"/>
              <w:ind w:firstLine="0" w:firstLineChars="0"/>
              <w:jc w:val="center"/>
              <w:rPr>
                <w:rFonts w:hint="eastAsia" w:eastAsia="宋体" w:cs="宋体"/>
                <w:sz w:val="21"/>
                <w:szCs w:val="21"/>
                <w:highlight w:val="none"/>
                <w:lang w:eastAsia="zh-CN"/>
              </w:rPr>
            </w:pPr>
            <w:r>
              <w:rPr>
                <w:rFonts w:hint="eastAsia" w:cs="宋体"/>
                <w:sz w:val="21"/>
                <w:szCs w:val="21"/>
                <w:highlight w:val="none"/>
                <w:lang w:val="en-US" w:eastAsia="zh-CN"/>
              </w:rPr>
              <w:t>3</w:t>
            </w:r>
          </w:p>
        </w:tc>
      </w:tr>
      <w:tr w14:paraId="5846E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97" w:type="pct"/>
            <w:noWrap/>
            <w:vAlign w:val="center"/>
          </w:tcPr>
          <w:p w14:paraId="7A2F1862">
            <w:pPr>
              <w:spacing w:line="300" w:lineRule="auto"/>
              <w:ind w:firstLine="233" w:firstLineChars="111"/>
              <w:rPr>
                <w:rFonts w:cs="宋体"/>
                <w:sz w:val="21"/>
                <w:szCs w:val="21"/>
                <w:highlight w:val="none"/>
              </w:rPr>
            </w:pPr>
            <w:r>
              <w:rPr>
                <w:rFonts w:hint="eastAsia" w:cs="宋体"/>
                <w:sz w:val="21"/>
                <w:szCs w:val="21"/>
                <w:highlight w:val="none"/>
              </w:rPr>
              <w:t>8</w:t>
            </w:r>
          </w:p>
        </w:tc>
        <w:tc>
          <w:tcPr>
            <w:tcW w:w="773" w:type="pct"/>
            <w:vMerge w:val="continue"/>
            <w:noWrap/>
            <w:vAlign w:val="center"/>
          </w:tcPr>
          <w:p w14:paraId="33D68C63">
            <w:pPr>
              <w:spacing w:line="300" w:lineRule="auto"/>
              <w:ind w:firstLine="0" w:firstLineChars="0"/>
              <w:rPr>
                <w:rFonts w:hint="eastAsia" w:cs="宋体"/>
                <w:sz w:val="21"/>
                <w:szCs w:val="21"/>
                <w:highlight w:val="none"/>
              </w:rPr>
            </w:pPr>
          </w:p>
        </w:tc>
        <w:tc>
          <w:tcPr>
            <w:tcW w:w="3524" w:type="pct"/>
            <w:noWrap w:val="0"/>
            <w:vAlign w:val="center"/>
          </w:tcPr>
          <w:p w14:paraId="1727A1F9">
            <w:pPr>
              <w:spacing w:line="300" w:lineRule="auto"/>
              <w:ind w:firstLine="0" w:firstLineChars="0"/>
              <w:rPr>
                <w:rFonts w:cs="宋体"/>
                <w:sz w:val="21"/>
                <w:szCs w:val="21"/>
                <w:highlight w:val="none"/>
              </w:rPr>
            </w:pPr>
            <w:r>
              <w:rPr>
                <w:rFonts w:hint="eastAsia" w:cs="宋体"/>
                <w:sz w:val="21"/>
                <w:szCs w:val="21"/>
                <w:highlight w:val="none"/>
              </w:rPr>
              <w:t>施工网络图或横道图安排施工进度计划合理得</w:t>
            </w:r>
            <w:r>
              <w:rPr>
                <w:rFonts w:hint="eastAsia" w:cs="宋体"/>
                <w:sz w:val="21"/>
                <w:szCs w:val="21"/>
                <w:highlight w:val="none"/>
                <w:lang w:val="en-US" w:eastAsia="zh-CN"/>
              </w:rPr>
              <w:t>3-4</w:t>
            </w:r>
            <w:r>
              <w:rPr>
                <w:rFonts w:cs="宋体"/>
                <w:sz w:val="21"/>
                <w:szCs w:val="21"/>
                <w:highlight w:val="none"/>
              </w:rPr>
              <w:t>分，</w:t>
            </w:r>
            <w:r>
              <w:rPr>
                <w:rFonts w:hint="eastAsia" w:cs="宋体"/>
                <w:sz w:val="21"/>
                <w:szCs w:val="21"/>
                <w:highlight w:val="none"/>
              </w:rPr>
              <w:t>基本合理</w:t>
            </w:r>
            <w:r>
              <w:rPr>
                <w:rFonts w:hint="eastAsia" w:cs="宋体"/>
                <w:sz w:val="21"/>
                <w:szCs w:val="21"/>
                <w:highlight w:val="none"/>
                <w:lang w:val="en-US" w:eastAsia="zh-CN"/>
              </w:rPr>
              <w:t>1-2</w:t>
            </w:r>
            <w:r>
              <w:rPr>
                <w:rFonts w:hint="eastAsia" w:cs="宋体"/>
                <w:sz w:val="21"/>
                <w:szCs w:val="21"/>
                <w:highlight w:val="none"/>
              </w:rPr>
              <w:t xml:space="preserve"> 分，</w:t>
            </w:r>
            <w:r>
              <w:rPr>
                <w:rFonts w:hint="eastAsia" w:cs="宋体"/>
                <w:sz w:val="21"/>
                <w:szCs w:val="21"/>
                <w:highlight w:val="none"/>
                <w:lang w:val="en-US" w:eastAsia="zh-CN"/>
              </w:rPr>
              <w:t>不</w:t>
            </w:r>
            <w:r>
              <w:rPr>
                <w:rFonts w:hint="eastAsia" w:cs="宋体"/>
                <w:sz w:val="21"/>
                <w:szCs w:val="21"/>
                <w:highlight w:val="none"/>
              </w:rPr>
              <w:t>合理的不得分。</w:t>
            </w:r>
          </w:p>
        </w:tc>
        <w:tc>
          <w:tcPr>
            <w:tcW w:w="405" w:type="pct"/>
            <w:noWrap w:val="0"/>
            <w:vAlign w:val="center"/>
          </w:tcPr>
          <w:p w14:paraId="0E5F047E">
            <w:pPr>
              <w:tabs>
                <w:tab w:val="center" w:pos="307"/>
              </w:tabs>
              <w:spacing w:line="300" w:lineRule="auto"/>
              <w:ind w:firstLine="0" w:firstLineChars="0"/>
              <w:jc w:val="center"/>
              <w:rPr>
                <w:rFonts w:hint="eastAsia" w:eastAsia="宋体" w:cs="宋体"/>
                <w:sz w:val="21"/>
                <w:szCs w:val="21"/>
                <w:highlight w:val="none"/>
                <w:lang w:eastAsia="zh-CN"/>
              </w:rPr>
            </w:pPr>
            <w:r>
              <w:rPr>
                <w:rFonts w:hint="eastAsia" w:cs="宋体"/>
                <w:sz w:val="21"/>
                <w:szCs w:val="21"/>
                <w:highlight w:val="none"/>
                <w:lang w:val="en-US" w:eastAsia="zh-CN"/>
              </w:rPr>
              <w:t>4</w:t>
            </w:r>
          </w:p>
        </w:tc>
      </w:tr>
    </w:tbl>
    <w:p w14:paraId="25EA3DB9">
      <w:pPr>
        <w:tabs>
          <w:tab w:val="left" w:pos="567"/>
        </w:tabs>
        <w:spacing w:after="120"/>
        <w:ind w:firstLine="0" w:firstLineChars="0"/>
        <w:rPr>
          <w:rFonts w:hint="eastAsia"/>
          <w:szCs w:val="24"/>
          <w:highlight w:val="none"/>
        </w:rPr>
      </w:pPr>
    </w:p>
    <w:p w14:paraId="124A8090">
      <w:pPr>
        <w:tabs>
          <w:tab w:val="left" w:pos="567"/>
        </w:tabs>
        <w:spacing w:after="120"/>
        <w:ind w:firstLine="0" w:firstLineChars="0"/>
        <w:rPr>
          <w:rFonts w:hint="eastAsia"/>
          <w:szCs w:val="24"/>
          <w:highlight w:val="none"/>
        </w:rPr>
      </w:pPr>
      <w:r>
        <w:rPr>
          <w:rFonts w:hint="eastAsia"/>
          <w:szCs w:val="24"/>
          <w:highlight w:val="none"/>
        </w:rPr>
        <w:t>三、评标办法（综合评分法）</w:t>
      </w:r>
      <w:bookmarkEnd w:id="6"/>
    </w:p>
    <w:bookmarkEnd w:id="2"/>
    <w:bookmarkEnd w:id="3"/>
    <w:bookmarkEnd w:id="4"/>
    <w:bookmarkEnd w:id="5"/>
    <w:p w14:paraId="3E3C9B94">
      <w:pPr>
        <w:adjustRightInd w:val="0"/>
        <w:snapToGrid w:val="0"/>
        <w:ind w:left="240" w:firstLine="0" w:firstLineChars="0"/>
        <w:rPr>
          <w:rFonts w:hint="eastAsia"/>
          <w:szCs w:val="21"/>
          <w:highlight w:val="none"/>
        </w:rPr>
      </w:pPr>
      <w:r>
        <w:rPr>
          <w:rFonts w:hint="eastAsia"/>
          <w:szCs w:val="21"/>
          <w:highlight w:val="none"/>
        </w:rPr>
        <w:t>1．评委按照招标文件要求和本评分办法的有关规定，给各投标人分别打分，并按下列公式确定各投标人的评定分数：评定分数=</w:t>
      </w:r>
      <w:r>
        <w:rPr>
          <w:rFonts w:hint="eastAsia"/>
          <w:szCs w:val="21"/>
          <w:highlight w:val="none"/>
          <w:lang w:val="en-US" w:eastAsia="zh-CN"/>
        </w:rPr>
        <w:t>报价</w:t>
      </w:r>
      <w:r>
        <w:rPr>
          <w:rFonts w:hint="eastAsia"/>
          <w:szCs w:val="21"/>
          <w:highlight w:val="none"/>
        </w:rPr>
        <w:t>部分得分</w:t>
      </w:r>
      <w:r>
        <w:rPr>
          <w:rFonts w:hint="eastAsia"/>
          <w:szCs w:val="21"/>
          <w:highlight w:val="none"/>
          <w:lang w:val="en-US" w:eastAsia="zh-CN"/>
        </w:rPr>
        <w:t>+</w:t>
      </w:r>
      <w:r>
        <w:rPr>
          <w:rFonts w:hint="eastAsia"/>
          <w:szCs w:val="21"/>
          <w:highlight w:val="none"/>
        </w:rPr>
        <w:t>商务部分得分+技术部分得分。</w:t>
      </w:r>
    </w:p>
    <w:p w14:paraId="349E8E08">
      <w:pPr>
        <w:adjustRightInd w:val="0"/>
        <w:snapToGrid w:val="0"/>
        <w:ind w:left="240" w:firstLine="0" w:firstLineChars="0"/>
        <w:rPr>
          <w:rFonts w:hint="eastAsia"/>
          <w:szCs w:val="21"/>
          <w:highlight w:val="none"/>
        </w:rPr>
      </w:pPr>
      <w:r>
        <w:rPr>
          <w:rFonts w:hint="eastAsia"/>
          <w:szCs w:val="21"/>
          <w:highlight w:val="none"/>
        </w:rPr>
        <w:t>2．各投标人的最终得分为各评委所评定分数的算术平均值。</w:t>
      </w:r>
    </w:p>
    <w:p w14:paraId="7BEF4C6E">
      <w:pPr>
        <w:adjustRightInd w:val="0"/>
        <w:snapToGrid w:val="0"/>
        <w:ind w:left="240" w:firstLine="0" w:firstLineChars="0"/>
        <w:rPr>
          <w:rFonts w:hint="eastAsia"/>
          <w:szCs w:val="21"/>
          <w:highlight w:val="none"/>
        </w:rPr>
      </w:pPr>
      <w:r>
        <w:rPr>
          <w:rFonts w:hint="eastAsia"/>
          <w:szCs w:val="21"/>
          <w:highlight w:val="none"/>
        </w:rPr>
        <w:t>3．各项统计、评分结果均按四舍五入方法精确到小数点后二位。</w:t>
      </w:r>
    </w:p>
    <w:p w14:paraId="0FEF1767">
      <w:pPr>
        <w:adjustRightInd w:val="0"/>
        <w:snapToGrid w:val="0"/>
        <w:ind w:left="240" w:firstLine="0" w:firstLineChars="0"/>
        <w:rPr>
          <w:rFonts w:hint="eastAsia"/>
          <w:szCs w:val="21"/>
          <w:highlight w:val="none"/>
        </w:rPr>
      </w:pPr>
      <w:r>
        <w:rPr>
          <w:rFonts w:hint="eastAsia"/>
          <w:szCs w:val="21"/>
          <w:highlight w:val="none"/>
        </w:rPr>
        <w:t>4．评标委员会根据投标供应商的最终得分，按从高分到低分次序确定投标人最终的排列名次，如得分相同，按投标报价由低到高排列名次，并按照招标文件中规定的评标方法，推荐名次最高三名的投标人为中标候选人。</w:t>
      </w:r>
    </w:p>
    <w:p w14:paraId="16EB9D22">
      <w:pPr>
        <w:adjustRightInd w:val="0"/>
        <w:snapToGrid w:val="0"/>
        <w:ind w:left="240" w:firstLine="0" w:firstLineChars="0"/>
        <w:rPr>
          <w:rFonts w:hint="eastAsia"/>
          <w:szCs w:val="21"/>
          <w:highlight w:val="none"/>
        </w:rPr>
      </w:pPr>
      <w:r>
        <w:rPr>
          <w:rFonts w:hint="eastAsia"/>
          <w:szCs w:val="21"/>
          <w:highlight w:val="none"/>
          <w:lang w:val="en-US" w:eastAsia="zh-CN"/>
        </w:rPr>
        <w:t>四</w:t>
      </w:r>
      <w:r>
        <w:rPr>
          <w:rFonts w:hint="eastAsia"/>
          <w:szCs w:val="21"/>
          <w:highlight w:val="none"/>
        </w:rPr>
        <w:t>、定标</w:t>
      </w:r>
    </w:p>
    <w:p w14:paraId="01B3ACB6">
      <w:pPr>
        <w:adjustRightInd w:val="0"/>
        <w:snapToGrid w:val="0"/>
        <w:ind w:left="240" w:firstLine="0" w:firstLineChars="0"/>
        <w:rPr>
          <w:rFonts w:hint="eastAsia"/>
          <w:szCs w:val="21"/>
          <w:highlight w:val="none"/>
        </w:rPr>
      </w:pPr>
      <w:r>
        <w:rPr>
          <w:rFonts w:hint="eastAsia"/>
          <w:szCs w:val="21"/>
          <w:highlight w:val="none"/>
        </w:rPr>
        <w:t>1、定标：在通过资格审查、符合性审查，综合得分最高的投标人推荐为中标人，并以其报价作为中标价。</w:t>
      </w:r>
    </w:p>
    <w:p w14:paraId="27927780">
      <w:pPr>
        <w:adjustRightInd w:val="0"/>
        <w:snapToGrid w:val="0"/>
        <w:ind w:left="240" w:firstLine="0" w:firstLineChars="0"/>
        <w:rPr>
          <w:rFonts w:hint="eastAsia"/>
          <w:szCs w:val="21"/>
          <w:highlight w:val="none"/>
        </w:rPr>
      </w:pPr>
      <w:r>
        <w:rPr>
          <w:rFonts w:hint="eastAsia"/>
          <w:szCs w:val="21"/>
          <w:highlight w:val="none"/>
        </w:rPr>
        <w:t>2、评标结果按评审后得分由高到低顺序排列。得分相同的，按投标报价由低到高顺序排列。得分且投标报价相同的并列。投标文件满足招标文件全部实质性要求，且按照技术部分评审得分最高的投标人为排名第一的中标候选人。</w:t>
      </w:r>
    </w:p>
    <w:p w14:paraId="348E5E63">
      <w:pPr>
        <w:adjustRightInd w:val="0"/>
        <w:snapToGrid w:val="0"/>
        <w:ind w:left="240" w:firstLine="0" w:firstLineChars="0"/>
        <w:rPr>
          <w:rFonts w:hint="eastAsia"/>
          <w:szCs w:val="21"/>
          <w:highlight w:val="none"/>
        </w:rPr>
      </w:pPr>
      <w:r>
        <w:rPr>
          <w:rFonts w:hint="eastAsia"/>
          <w:szCs w:val="21"/>
          <w:highlight w:val="none"/>
        </w:rPr>
        <w:t>3、中标单位因不可抗力或者自身原因不能履合同的，采购人可以与排位在中标单位之后第一位的中标候选单位签订采购合同，以此类推。</w:t>
      </w:r>
    </w:p>
    <w:p w14:paraId="4EBB5F89"/>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331248"/>
    <w:rsid w:val="033312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ind w:firstLine="200" w:firstLineChars="200"/>
    </w:pPr>
    <w:rPr>
      <w:rFonts w:ascii="宋体" w:hAnsi="宋体" w:eastAsia="宋体" w:cs="Times New Roman"/>
      <w:sz w:val="24"/>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spacing w:before="0" w:after="120"/>
      <w:ind w:left="0" w:firstLine="420" w:firstLineChars="100"/>
      <w:jc w:val="both"/>
    </w:pPr>
    <w:rPr>
      <w:rFonts w:ascii="Times New Roman" w:hAnsi="Times New Roman" w:cs="Times New Roman"/>
      <w:kern w:val="2"/>
      <w:sz w:val="21"/>
      <w:lang w:eastAsia="zh-CN"/>
    </w:rPr>
  </w:style>
  <w:style w:type="paragraph" w:styleId="3">
    <w:name w:val="Body Text"/>
    <w:basedOn w:val="1"/>
    <w:uiPriority w:val="1"/>
    <w:pPr>
      <w:spacing w:after="120"/>
    </w:pPr>
    <w:rPr>
      <w:rFonts w:ascii="Calibri" w:hAnsi="Calibri"/>
      <w:kern w:val="2"/>
      <w:sz w:val="28"/>
      <w:szCs w:val="24"/>
    </w:rPr>
  </w:style>
  <w:style w:type="paragraph" w:styleId="4">
    <w:name w:val="Body Text Indent"/>
    <w:basedOn w:val="1"/>
    <w:uiPriority w:val="0"/>
    <w:pPr>
      <w:spacing w:after="120"/>
      <w:ind w:left="420" w:leftChars="200"/>
    </w:pPr>
    <w:rPr>
      <w:rFonts w:ascii="Calibri" w:hAnsi="Calibri"/>
      <w:kern w:val="2"/>
      <w:sz w:val="28"/>
      <w:szCs w:val="24"/>
    </w:rPr>
  </w:style>
  <w:style w:type="paragraph" w:styleId="5">
    <w:name w:val="Body Text First Indent 2"/>
    <w:basedOn w:val="4"/>
    <w:uiPriority w:val="0"/>
    <w:pPr>
      <w:ind w:firstLine="420" w:firstLineChars="200"/>
    </w:pPr>
    <w:rPr>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2025-07-02T00:50:00Z</dcterms:created>
  <dc:creator>Jade </dc:creator>
  <cp:lastModifiedBy>Jade </cp:lastModifiedBy>
  <dcterms:modified xsi:type="dcterms:W3CDTF">2025-07-02T00:50:56Z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60DC2D4434C44134AD53D0A8563DFDF8_11</vt:lpwstr>
  </property>
  <property fmtid="{D5CDD505-2E9C-101B-9397-08002B2CF9AE}" pid="4" name="KSOTemplateDocerSaveRecord">
    <vt:lpwstr>eyJoZGlkIjoiZDY2N2M0YWJhYWY5NDc5MzU2M2Q0ZDU4ZTBkMzMxNWQiLCJ1c2VySWQiOiI3MTkwMDU1MzcifQ==</vt:lpwstr>
  </property>
</Properties>
</file>