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F6744E">
      <w:pPr>
        <w:pStyle w:val="4"/>
        <w:widowControl w:val="0"/>
        <w:numPr>
          <w:ilvl w:val="0"/>
          <w:numId w:val="0"/>
        </w:numPr>
        <w:autoSpaceDE w:val="0"/>
        <w:autoSpaceDN w:val="0"/>
        <w:spacing w:after="0" w:afterLines="0" w:line="240" w:lineRule="auto"/>
        <w:ind w:right="198"/>
        <w:jc w:val="left"/>
        <w:rPr>
          <w:rFonts w:hint="default" w:ascii="宋体" w:hAnsi="宋体" w:eastAsia="宋体" w:cs="宋体"/>
          <w:b/>
          <w:sz w:val="32"/>
          <w:szCs w:val="32"/>
          <w:highlight w:val="none"/>
          <w:lang w:val="en-US" w:eastAsia="zh-CN"/>
        </w:rPr>
      </w:pPr>
      <w:bookmarkStart w:id="0" w:name="_Toc3504"/>
      <w:r>
        <w:rPr>
          <w:rFonts w:hint="eastAsia" w:ascii="宋体" w:hAnsi="宋体" w:cs="宋体"/>
          <w:b/>
          <w:sz w:val="32"/>
          <w:szCs w:val="32"/>
          <w:highlight w:val="none"/>
          <w:lang w:eastAsia="zh-CN"/>
        </w:rPr>
        <w:t>附件</w:t>
      </w:r>
      <w:r>
        <w:rPr>
          <w:rFonts w:hint="eastAsia" w:ascii="宋体" w:hAnsi="宋体" w:cs="宋体"/>
          <w:b/>
          <w:sz w:val="32"/>
          <w:szCs w:val="32"/>
          <w:highlight w:val="none"/>
          <w:lang w:val="en-US" w:eastAsia="zh-CN"/>
        </w:rPr>
        <w:t>1</w:t>
      </w:r>
      <w:bookmarkStart w:id="26" w:name="_GoBack"/>
      <w:bookmarkEnd w:id="26"/>
    </w:p>
    <w:p w14:paraId="330D91CB">
      <w:pPr>
        <w:pStyle w:val="4"/>
        <w:widowControl w:val="0"/>
        <w:numPr>
          <w:ilvl w:val="0"/>
          <w:numId w:val="0"/>
        </w:numPr>
        <w:autoSpaceDE w:val="0"/>
        <w:autoSpaceDN w:val="0"/>
        <w:spacing w:after="0" w:afterLines="0" w:line="240" w:lineRule="auto"/>
        <w:ind w:right="198"/>
        <w:jc w:val="center"/>
        <w:rPr>
          <w:rFonts w:hint="eastAsia" w:ascii="宋体" w:hAnsi="宋体"/>
          <w:szCs w:val="24"/>
          <w:highlight w:val="none"/>
        </w:rPr>
      </w:pPr>
      <w:r>
        <w:rPr>
          <w:rFonts w:hint="eastAsia" w:ascii="宋体" w:hAnsi="宋体" w:cs="宋体"/>
          <w:b/>
          <w:sz w:val="32"/>
          <w:szCs w:val="32"/>
          <w:highlight w:val="none"/>
        </w:rPr>
        <w:t>投标人须知前附表</w:t>
      </w:r>
      <w:bookmarkEnd w:id="0"/>
    </w:p>
    <w:tbl>
      <w:tblPr>
        <w:tblStyle w:val="7"/>
        <w:tblW w:w="8768" w:type="dxa"/>
        <w:jc w:val="center"/>
        <w:tblLayout w:type="fixed"/>
        <w:tblCellMar>
          <w:top w:w="0" w:type="dxa"/>
          <w:left w:w="0" w:type="dxa"/>
          <w:bottom w:w="0" w:type="dxa"/>
          <w:right w:w="0" w:type="dxa"/>
        </w:tblCellMar>
      </w:tblPr>
      <w:tblGrid>
        <w:gridCol w:w="1182"/>
        <w:gridCol w:w="1789"/>
        <w:gridCol w:w="5797"/>
      </w:tblGrid>
      <w:tr w14:paraId="76B08FD6">
        <w:tblPrEx>
          <w:tblCellMar>
            <w:top w:w="0" w:type="dxa"/>
            <w:left w:w="0" w:type="dxa"/>
            <w:bottom w:w="0" w:type="dxa"/>
            <w:right w:w="0" w:type="dxa"/>
          </w:tblCellMar>
        </w:tblPrEx>
        <w:trPr>
          <w:trHeight w:val="90" w:hRule="atLeast"/>
          <w:jc w:val="center"/>
        </w:trPr>
        <w:tc>
          <w:tcPr>
            <w:tcW w:w="1182" w:type="dxa"/>
            <w:tcBorders>
              <w:top w:val="single" w:color="auto" w:sz="12" w:space="0"/>
              <w:left w:val="single" w:color="auto" w:sz="12" w:space="0"/>
              <w:bottom w:val="single" w:color="auto" w:sz="6" w:space="0"/>
              <w:right w:val="single" w:color="auto" w:sz="4" w:space="0"/>
            </w:tcBorders>
            <w:noWrap w:val="0"/>
            <w:vAlign w:val="center"/>
          </w:tcPr>
          <w:p w14:paraId="15B4EE22">
            <w:pPr>
              <w:autoSpaceDE w:val="0"/>
              <w:autoSpaceDN w:val="0"/>
              <w:adjustRightInd w:val="0"/>
              <w:spacing w:line="300" w:lineRule="auto"/>
              <w:ind w:left="-4" w:leftChars="-12" w:hanging="25" w:hangingChars="12"/>
              <w:jc w:val="center"/>
              <w:rPr>
                <w:rFonts w:hint="eastAsia" w:cs="宋体"/>
                <w:b/>
                <w:sz w:val="21"/>
                <w:szCs w:val="21"/>
                <w:highlight w:val="none"/>
              </w:rPr>
            </w:pPr>
            <w:r>
              <w:rPr>
                <w:rFonts w:hint="eastAsia" w:cs="宋体"/>
                <w:b/>
                <w:sz w:val="21"/>
                <w:szCs w:val="21"/>
                <w:highlight w:val="none"/>
                <w:lang w:val="zh-CN"/>
              </w:rPr>
              <w:t>条款号</w:t>
            </w:r>
          </w:p>
        </w:tc>
        <w:tc>
          <w:tcPr>
            <w:tcW w:w="1789" w:type="dxa"/>
            <w:tcBorders>
              <w:top w:val="single" w:color="auto" w:sz="12" w:space="0"/>
              <w:left w:val="single" w:color="auto" w:sz="4" w:space="0"/>
              <w:bottom w:val="single" w:color="auto" w:sz="6" w:space="0"/>
              <w:right w:val="single" w:color="auto" w:sz="6" w:space="0"/>
            </w:tcBorders>
            <w:noWrap w:val="0"/>
            <w:vAlign w:val="center"/>
          </w:tcPr>
          <w:p w14:paraId="70BA3EA5">
            <w:pPr>
              <w:autoSpaceDE w:val="0"/>
              <w:autoSpaceDN w:val="0"/>
              <w:adjustRightInd w:val="0"/>
              <w:spacing w:line="300" w:lineRule="auto"/>
              <w:ind w:firstLine="0" w:firstLineChars="0"/>
              <w:jc w:val="center"/>
              <w:rPr>
                <w:rFonts w:hint="eastAsia" w:cs="宋体"/>
                <w:b/>
                <w:sz w:val="21"/>
                <w:szCs w:val="21"/>
                <w:highlight w:val="none"/>
              </w:rPr>
            </w:pPr>
            <w:r>
              <w:rPr>
                <w:rFonts w:hint="eastAsia" w:cs="宋体"/>
                <w:b/>
                <w:sz w:val="21"/>
                <w:szCs w:val="21"/>
                <w:highlight w:val="none"/>
              </w:rPr>
              <w:t>条款名称</w:t>
            </w:r>
          </w:p>
        </w:tc>
        <w:tc>
          <w:tcPr>
            <w:tcW w:w="5797" w:type="dxa"/>
            <w:tcBorders>
              <w:top w:val="single" w:color="auto" w:sz="12" w:space="0"/>
              <w:left w:val="single" w:color="auto" w:sz="6" w:space="0"/>
              <w:bottom w:val="single" w:color="auto" w:sz="6" w:space="0"/>
              <w:right w:val="single" w:color="auto" w:sz="12" w:space="0"/>
            </w:tcBorders>
            <w:noWrap w:val="0"/>
            <w:vAlign w:val="center"/>
          </w:tcPr>
          <w:p w14:paraId="29B93C00">
            <w:pPr>
              <w:autoSpaceDE w:val="0"/>
              <w:autoSpaceDN w:val="0"/>
              <w:adjustRightInd w:val="0"/>
              <w:spacing w:line="300" w:lineRule="auto"/>
              <w:ind w:firstLine="0" w:firstLineChars="0"/>
              <w:jc w:val="center"/>
              <w:rPr>
                <w:rFonts w:hint="eastAsia" w:cs="宋体"/>
                <w:b/>
                <w:sz w:val="21"/>
                <w:szCs w:val="21"/>
                <w:highlight w:val="none"/>
              </w:rPr>
            </w:pPr>
            <w:r>
              <w:rPr>
                <w:rFonts w:hint="eastAsia" w:cs="宋体"/>
                <w:b/>
                <w:sz w:val="21"/>
                <w:szCs w:val="21"/>
                <w:highlight w:val="none"/>
                <w:lang w:val="zh-CN"/>
              </w:rPr>
              <w:t>内容</w:t>
            </w:r>
          </w:p>
        </w:tc>
      </w:tr>
      <w:tr w14:paraId="6235F3C2">
        <w:tblPrEx>
          <w:tblCellMar>
            <w:top w:w="0" w:type="dxa"/>
            <w:left w:w="0" w:type="dxa"/>
            <w:bottom w:w="0" w:type="dxa"/>
            <w:right w:w="0" w:type="dxa"/>
          </w:tblCellMar>
        </w:tblPrEx>
        <w:trPr>
          <w:trHeight w:val="632" w:hRule="atLeast"/>
          <w:jc w:val="center"/>
        </w:trPr>
        <w:tc>
          <w:tcPr>
            <w:tcW w:w="1182" w:type="dxa"/>
            <w:tcBorders>
              <w:top w:val="single" w:color="auto" w:sz="12" w:space="0"/>
              <w:left w:val="single" w:color="auto" w:sz="12" w:space="0"/>
              <w:bottom w:val="single" w:color="auto" w:sz="4" w:space="0"/>
              <w:right w:val="single" w:color="auto" w:sz="4" w:space="0"/>
            </w:tcBorders>
            <w:noWrap w:val="0"/>
            <w:vAlign w:val="center"/>
          </w:tcPr>
          <w:p w14:paraId="171BAF10">
            <w:pPr>
              <w:pStyle w:val="6"/>
              <w:widowControl w:val="0"/>
              <w:autoSpaceDE w:val="0"/>
              <w:autoSpaceDN w:val="0"/>
              <w:adjustRightInd w:val="0"/>
              <w:spacing w:before="0" w:beforeAutospacing="0" w:after="0" w:afterAutospacing="0" w:line="300" w:lineRule="auto"/>
              <w:ind w:firstLine="0" w:firstLineChars="0"/>
              <w:jc w:val="center"/>
              <w:rPr>
                <w:rFonts w:cs="宋体"/>
                <w:kern w:val="2"/>
                <w:sz w:val="21"/>
                <w:szCs w:val="21"/>
                <w:highlight w:val="none"/>
                <w:lang w:val="zh-CN"/>
              </w:rPr>
            </w:pPr>
            <w:r>
              <w:rPr>
                <w:rFonts w:cs="宋体"/>
                <w:kern w:val="2"/>
                <w:sz w:val="21"/>
                <w:szCs w:val="21"/>
                <w:highlight w:val="none"/>
              </w:rPr>
              <w:t>1</w:t>
            </w:r>
          </w:p>
        </w:tc>
        <w:tc>
          <w:tcPr>
            <w:tcW w:w="1789" w:type="dxa"/>
            <w:tcBorders>
              <w:top w:val="single" w:color="auto" w:sz="12" w:space="0"/>
              <w:left w:val="single" w:color="auto" w:sz="4" w:space="0"/>
              <w:bottom w:val="single" w:color="auto" w:sz="4" w:space="0"/>
              <w:right w:val="single" w:color="auto" w:sz="6" w:space="0"/>
            </w:tcBorders>
            <w:noWrap w:val="0"/>
            <w:vAlign w:val="center"/>
          </w:tcPr>
          <w:p w14:paraId="4D7A7336">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rPr>
              <w:t>招标人</w:t>
            </w:r>
          </w:p>
        </w:tc>
        <w:tc>
          <w:tcPr>
            <w:tcW w:w="5797" w:type="dxa"/>
            <w:tcBorders>
              <w:top w:val="single" w:color="auto" w:sz="12" w:space="0"/>
              <w:left w:val="single" w:color="auto" w:sz="6" w:space="0"/>
              <w:bottom w:val="single" w:color="auto" w:sz="4" w:space="0"/>
              <w:right w:val="single" w:color="auto" w:sz="12" w:space="0"/>
            </w:tcBorders>
            <w:noWrap w:val="0"/>
            <w:vAlign w:val="center"/>
          </w:tcPr>
          <w:p w14:paraId="07B5E3EE">
            <w:pPr>
              <w:spacing w:line="300" w:lineRule="auto"/>
              <w:ind w:firstLine="105" w:firstLineChars="50"/>
              <w:rPr>
                <w:rFonts w:hint="eastAsia" w:cs="宋体"/>
                <w:sz w:val="21"/>
                <w:szCs w:val="21"/>
                <w:highlight w:val="none"/>
                <w:lang w:eastAsia="zh-CN"/>
              </w:rPr>
            </w:pPr>
            <w:r>
              <w:rPr>
                <w:rFonts w:hint="eastAsia" w:cs="宋体"/>
                <w:sz w:val="21"/>
                <w:szCs w:val="21"/>
                <w:highlight w:val="none"/>
              </w:rPr>
              <w:t xml:space="preserve">名称： </w:t>
            </w:r>
            <w:r>
              <w:rPr>
                <w:rFonts w:hint="eastAsia" w:cs="宋体"/>
                <w:sz w:val="21"/>
                <w:szCs w:val="21"/>
                <w:highlight w:val="none"/>
                <w:lang w:eastAsia="zh-CN"/>
              </w:rPr>
              <w:t>黄石市磁湖梦房屋租赁有限公司</w:t>
            </w:r>
          </w:p>
          <w:p w14:paraId="5FC1D179">
            <w:pPr>
              <w:spacing w:line="300" w:lineRule="auto"/>
              <w:ind w:firstLine="105" w:firstLineChars="50"/>
              <w:rPr>
                <w:rFonts w:hint="eastAsia" w:cs="宋体"/>
                <w:sz w:val="21"/>
                <w:szCs w:val="21"/>
                <w:highlight w:val="none"/>
                <w:lang w:val="zh-CN"/>
              </w:rPr>
            </w:pPr>
            <w:r>
              <w:rPr>
                <w:rFonts w:hint="eastAsia" w:cs="宋体"/>
                <w:sz w:val="21"/>
                <w:szCs w:val="21"/>
                <w:highlight w:val="none"/>
                <w:lang w:val="zh-CN"/>
              </w:rPr>
              <w:t>联 系 人：</w:t>
            </w:r>
            <w:r>
              <w:rPr>
                <w:rFonts w:hint="eastAsia" w:cs="宋体"/>
                <w:sz w:val="21"/>
                <w:szCs w:val="21"/>
                <w:highlight w:val="none"/>
                <w:lang w:val="en-US" w:eastAsia="zh-CN"/>
              </w:rPr>
              <w:t>刘总</w:t>
            </w:r>
            <w:r>
              <w:rPr>
                <w:rFonts w:hint="eastAsia" w:cs="宋体"/>
                <w:sz w:val="21"/>
                <w:szCs w:val="21"/>
                <w:highlight w:val="none"/>
                <w:lang w:val="zh-CN"/>
              </w:rPr>
              <w:t xml:space="preserve">                     </w:t>
            </w:r>
          </w:p>
          <w:p w14:paraId="2079DA35">
            <w:pPr>
              <w:spacing w:line="300" w:lineRule="auto"/>
              <w:ind w:firstLine="105" w:firstLineChars="50"/>
              <w:rPr>
                <w:rFonts w:hint="eastAsia" w:eastAsia="宋体" w:cs="宋体"/>
                <w:sz w:val="21"/>
                <w:szCs w:val="21"/>
                <w:highlight w:val="none"/>
                <w:lang w:val="zh-CN" w:eastAsia="zh-CN"/>
              </w:rPr>
            </w:pPr>
            <w:r>
              <w:rPr>
                <w:rFonts w:hint="eastAsia" w:cs="宋体"/>
                <w:sz w:val="21"/>
                <w:szCs w:val="21"/>
                <w:highlight w:val="none"/>
                <w:lang w:val="zh-CN"/>
              </w:rPr>
              <w:t>联系电话：</w:t>
            </w:r>
            <w:r>
              <w:rPr>
                <w:rFonts w:hint="eastAsia" w:cs="宋体"/>
                <w:sz w:val="21"/>
                <w:szCs w:val="21"/>
                <w:highlight w:val="none"/>
                <w:lang w:val="en-US" w:eastAsia="zh-CN"/>
              </w:rPr>
              <w:t xml:space="preserve">13872119315 </w:t>
            </w:r>
          </w:p>
        </w:tc>
      </w:tr>
      <w:tr w14:paraId="207BF833">
        <w:tblPrEx>
          <w:tblCellMar>
            <w:top w:w="0" w:type="dxa"/>
            <w:left w:w="0" w:type="dxa"/>
            <w:bottom w:w="0" w:type="dxa"/>
            <w:right w:w="0" w:type="dxa"/>
          </w:tblCellMar>
        </w:tblPrEx>
        <w:trPr>
          <w:trHeight w:val="444" w:hRule="atLeast"/>
          <w:jc w:val="center"/>
        </w:trPr>
        <w:tc>
          <w:tcPr>
            <w:tcW w:w="1182" w:type="dxa"/>
            <w:tcBorders>
              <w:top w:val="single" w:color="auto" w:sz="6" w:space="0"/>
              <w:left w:val="single" w:color="auto" w:sz="12" w:space="0"/>
              <w:bottom w:val="single" w:color="auto" w:sz="4" w:space="0"/>
              <w:right w:val="single" w:color="auto" w:sz="4" w:space="0"/>
            </w:tcBorders>
            <w:noWrap w:val="0"/>
            <w:vAlign w:val="center"/>
          </w:tcPr>
          <w:p w14:paraId="691F3698">
            <w:pPr>
              <w:pStyle w:val="6"/>
              <w:widowControl w:val="0"/>
              <w:autoSpaceDE w:val="0"/>
              <w:autoSpaceDN w:val="0"/>
              <w:adjustRightInd w:val="0"/>
              <w:spacing w:before="0" w:beforeAutospacing="0" w:after="0" w:afterAutospacing="0" w:line="300" w:lineRule="auto"/>
              <w:ind w:firstLine="0" w:firstLineChars="0"/>
              <w:jc w:val="center"/>
              <w:rPr>
                <w:rFonts w:cs="宋体"/>
                <w:kern w:val="2"/>
                <w:sz w:val="21"/>
                <w:szCs w:val="21"/>
                <w:highlight w:val="none"/>
              </w:rPr>
            </w:pPr>
            <w:r>
              <w:rPr>
                <w:rFonts w:cs="宋体"/>
                <w:kern w:val="2"/>
                <w:sz w:val="21"/>
                <w:szCs w:val="21"/>
                <w:highlight w:val="none"/>
              </w:rPr>
              <w:t>2</w:t>
            </w:r>
          </w:p>
        </w:tc>
        <w:tc>
          <w:tcPr>
            <w:tcW w:w="1789" w:type="dxa"/>
            <w:tcBorders>
              <w:top w:val="single" w:color="auto" w:sz="6" w:space="0"/>
              <w:left w:val="single" w:color="auto" w:sz="4" w:space="0"/>
              <w:bottom w:val="single" w:color="auto" w:sz="4" w:space="0"/>
              <w:right w:val="single" w:color="auto" w:sz="6" w:space="0"/>
            </w:tcBorders>
            <w:noWrap w:val="0"/>
            <w:vAlign w:val="center"/>
          </w:tcPr>
          <w:p w14:paraId="347E6627">
            <w:pPr>
              <w:pStyle w:val="6"/>
              <w:widowControl w:val="0"/>
              <w:autoSpaceDE w:val="0"/>
              <w:autoSpaceDN w:val="0"/>
              <w:adjustRightInd w:val="0"/>
              <w:spacing w:before="0" w:beforeAutospacing="0" w:after="0" w:afterAutospacing="0" w:line="300" w:lineRule="auto"/>
              <w:ind w:firstLine="105" w:firstLineChars="50"/>
              <w:rPr>
                <w:rFonts w:hint="default" w:cs="宋体"/>
                <w:kern w:val="2"/>
                <w:sz w:val="21"/>
                <w:szCs w:val="21"/>
                <w:highlight w:val="none"/>
              </w:rPr>
            </w:pPr>
            <w:r>
              <w:rPr>
                <w:rFonts w:cs="宋体"/>
                <w:kern w:val="2"/>
                <w:sz w:val="21"/>
                <w:szCs w:val="21"/>
                <w:highlight w:val="none"/>
              </w:rPr>
              <w:t>项目名称</w:t>
            </w:r>
          </w:p>
        </w:tc>
        <w:tc>
          <w:tcPr>
            <w:tcW w:w="5797" w:type="dxa"/>
            <w:tcBorders>
              <w:top w:val="single" w:color="auto" w:sz="6" w:space="0"/>
              <w:left w:val="single" w:color="auto" w:sz="6" w:space="0"/>
              <w:bottom w:val="single" w:color="auto" w:sz="4" w:space="0"/>
              <w:right w:val="single" w:color="auto" w:sz="12" w:space="0"/>
            </w:tcBorders>
            <w:noWrap w:val="0"/>
            <w:vAlign w:val="center"/>
          </w:tcPr>
          <w:p w14:paraId="2EA6B91C">
            <w:pPr>
              <w:pStyle w:val="6"/>
              <w:widowControl w:val="0"/>
              <w:autoSpaceDE w:val="0"/>
              <w:autoSpaceDN w:val="0"/>
              <w:adjustRightInd w:val="0"/>
              <w:spacing w:before="0" w:beforeAutospacing="0" w:after="0" w:afterAutospacing="0" w:line="300" w:lineRule="auto"/>
              <w:ind w:firstLine="105" w:firstLineChars="50"/>
              <w:rPr>
                <w:rFonts w:cs="宋体"/>
                <w:sz w:val="21"/>
                <w:szCs w:val="21"/>
                <w:highlight w:val="none"/>
                <w:lang w:val="zh-CN"/>
              </w:rPr>
            </w:pPr>
            <w:r>
              <w:rPr>
                <w:rFonts w:hint="eastAsia" w:cs="宋体"/>
                <w:sz w:val="21"/>
                <w:szCs w:val="21"/>
                <w:highlight w:val="none"/>
                <w:lang w:eastAsia="zh-CN"/>
              </w:rPr>
              <w:t>红旗影剧院消防改造工程</w:t>
            </w:r>
          </w:p>
        </w:tc>
      </w:tr>
      <w:tr w14:paraId="044E9990">
        <w:tblPrEx>
          <w:tblCellMar>
            <w:top w:w="0" w:type="dxa"/>
            <w:left w:w="0" w:type="dxa"/>
            <w:bottom w:w="0" w:type="dxa"/>
            <w:right w:w="0" w:type="dxa"/>
          </w:tblCellMar>
        </w:tblPrEx>
        <w:trPr>
          <w:trHeight w:val="444" w:hRule="atLeast"/>
          <w:jc w:val="center"/>
        </w:trPr>
        <w:tc>
          <w:tcPr>
            <w:tcW w:w="1182" w:type="dxa"/>
            <w:tcBorders>
              <w:top w:val="single" w:color="auto" w:sz="6" w:space="0"/>
              <w:left w:val="single" w:color="auto" w:sz="12" w:space="0"/>
              <w:bottom w:val="single" w:color="auto" w:sz="4" w:space="0"/>
              <w:right w:val="single" w:color="auto" w:sz="4" w:space="0"/>
            </w:tcBorders>
            <w:noWrap w:val="0"/>
            <w:vAlign w:val="center"/>
          </w:tcPr>
          <w:p w14:paraId="7BE71C17">
            <w:pPr>
              <w:pStyle w:val="6"/>
              <w:widowControl w:val="0"/>
              <w:autoSpaceDE w:val="0"/>
              <w:autoSpaceDN w:val="0"/>
              <w:adjustRightInd w:val="0"/>
              <w:spacing w:before="0" w:beforeAutospacing="0" w:after="0" w:afterAutospacing="0" w:line="300" w:lineRule="auto"/>
              <w:ind w:firstLine="0" w:firstLineChars="0"/>
              <w:jc w:val="center"/>
              <w:rPr>
                <w:rFonts w:cs="宋体"/>
                <w:kern w:val="2"/>
                <w:sz w:val="21"/>
                <w:szCs w:val="21"/>
                <w:highlight w:val="none"/>
              </w:rPr>
            </w:pPr>
            <w:r>
              <w:rPr>
                <w:rFonts w:cs="宋体"/>
                <w:kern w:val="2"/>
                <w:sz w:val="21"/>
                <w:szCs w:val="21"/>
                <w:highlight w:val="none"/>
              </w:rPr>
              <w:t>3</w:t>
            </w:r>
          </w:p>
        </w:tc>
        <w:tc>
          <w:tcPr>
            <w:tcW w:w="1789" w:type="dxa"/>
            <w:tcBorders>
              <w:top w:val="single" w:color="auto" w:sz="6" w:space="0"/>
              <w:left w:val="single" w:color="auto" w:sz="4" w:space="0"/>
              <w:bottom w:val="single" w:color="auto" w:sz="4" w:space="0"/>
              <w:right w:val="single" w:color="auto" w:sz="6" w:space="0"/>
            </w:tcBorders>
            <w:noWrap w:val="0"/>
            <w:vAlign w:val="center"/>
          </w:tcPr>
          <w:p w14:paraId="2F566E9F">
            <w:pPr>
              <w:pStyle w:val="6"/>
              <w:widowControl w:val="0"/>
              <w:autoSpaceDE w:val="0"/>
              <w:autoSpaceDN w:val="0"/>
              <w:adjustRightInd w:val="0"/>
              <w:spacing w:before="0" w:beforeAutospacing="0" w:after="0" w:afterAutospacing="0" w:line="300" w:lineRule="auto"/>
              <w:ind w:firstLine="105" w:firstLineChars="50"/>
              <w:rPr>
                <w:rFonts w:hint="default" w:cs="宋体"/>
                <w:kern w:val="2"/>
                <w:sz w:val="21"/>
                <w:szCs w:val="21"/>
                <w:highlight w:val="none"/>
              </w:rPr>
            </w:pPr>
            <w:r>
              <w:rPr>
                <w:rFonts w:cs="宋体"/>
                <w:kern w:val="2"/>
                <w:sz w:val="21"/>
                <w:szCs w:val="21"/>
                <w:highlight w:val="none"/>
              </w:rPr>
              <w:t>招标方式</w:t>
            </w:r>
          </w:p>
        </w:tc>
        <w:tc>
          <w:tcPr>
            <w:tcW w:w="5797" w:type="dxa"/>
            <w:tcBorders>
              <w:top w:val="single" w:color="auto" w:sz="6" w:space="0"/>
              <w:left w:val="single" w:color="auto" w:sz="6" w:space="0"/>
              <w:bottom w:val="single" w:color="auto" w:sz="4" w:space="0"/>
              <w:right w:val="single" w:color="auto" w:sz="12" w:space="0"/>
            </w:tcBorders>
            <w:noWrap w:val="0"/>
            <w:vAlign w:val="center"/>
          </w:tcPr>
          <w:p w14:paraId="59847F14">
            <w:pPr>
              <w:pStyle w:val="6"/>
              <w:widowControl w:val="0"/>
              <w:autoSpaceDE w:val="0"/>
              <w:autoSpaceDN w:val="0"/>
              <w:adjustRightInd w:val="0"/>
              <w:spacing w:before="0" w:beforeAutospacing="0" w:after="0" w:afterAutospacing="0" w:line="300" w:lineRule="auto"/>
              <w:ind w:firstLine="105" w:firstLineChars="50"/>
              <w:rPr>
                <w:rFonts w:hint="default" w:eastAsia="宋体" w:cs="宋体"/>
                <w:kern w:val="2"/>
                <w:sz w:val="21"/>
                <w:szCs w:val="21"/>
                <w:highlight w:val="none"/>
                <w:lang w:val="en-US" w:eastAsia="zh-CN"/>
              </w:rPr>
            </w:pPr>
            <w:r>
              <w:rPr>
                <w:rFonts w:hint="eastAsia" w:cs="宋体"/>
                <w:kern w:val="2"/>
                <w:sz w:val="21"/>
                <w:szCs w:val="21"/>
                <w:highlight w:val="none"/>
                <w:lang w:val="en-US" w:eastAsia="zh-CN"/>
              </w:rPr>
              <w:t>企业平台公开招标</w:t>
            </w:r>
          </w:p>
        </w:tc>
      </w:tr>
      <w:tr w14:paraId="3F60B67C">
        <w:tblPrEx>
          <w:tblCellMar>
            <w:top w:w="0" w:type="dxa"/>
            <w:left w:w="0" w:type="dxa"/>
            <w:bottom w:w="0" w:type="dxa"/>
            <w:right w:w="0" w:type="dxa"/>
          </w:tblCellMar>
        </w:tblPrEx>
        <w:trPr>
          <w:trHeight w:val="821" w:hRule="atLeast"/>
          <w:jc w:val="center"/>
        </w:trPr>
        <w:tc>
          <w:tcPr>
            <w:tcW w:w="1182" w:type="dxa"/>
            <w:tcBorders>
              <w:top w:val="single" w:color="auto" w:sz="6" w:space="0"/>
              <w:left w:val="single" w:color="auto" w:sz="12" w:space="0"/>
              <w:bottom w:val="single" w:color="auto" w:sz="4" w:space="0"/>
              <w:right w:val="single" w:color="auto" w:sz="4" w:space="0"/>
            </w:tcBorders>
            <w:noWrap w:val="0"/>
            <w:vAlign w:val="center"/>
          </w:tcPr>
          <w:p w14:paraId="265E4C30">
            <w:pPr>
              <w:pStyle w:val="6"/>
              <w:widowControl w:val="0"/>
              <w:autoSpaceDE w:val="0"/>
              <w:autoSpaceDN w:val="0"/>
              <w:adjustRightInd w:val="0"/>
              <w:spacing w:before="0" w:beforeAutospacing="0" w:after="0" w:afterAutospacing="0" w:line="300" w:lineRule="auto"/>
              <w:ind w:firstLine="0" w:firstLineChars="0"/>
              <w:jc w:val="center"/>
              <w:rPr>
                <w:rFonts w:hint="eastAsia" w:eastAsia="宋体" w:cs="宋体"/>
                <w:kern w:val="2"/>
                <w:sz w:val="21"/>
                <w:szCs w:val="21"/>
                <w:highlight w:val="none"/>
                <w:lang w:eastAsia="zh-CN"/>
              </w:rPr>
            </w:pPr>
            <w:r>
              <w:rPr>
                <w:rFonts w:hint="eastAsia" w:cs="宋体"/>
                <w:kern w:val="2"/>
                <w:sz w:val="21"/>
                <w:szCs w:val="21"/>
                <w:highlight w:val="none"/>
                <w:lang w:val="en-US" w:eastAsia="zh-CN"/>
              </w:rPr>
              <w:t>4</w:t>
            </w:r>
          </w:p>
        </w:tc>
        <w:tc>
          <w:tcPr>
            <w:tcW w:w="1789" w:type="dxa"/>
            <w:tcBorders>
              <w:top w:val="single" w:color="auto" w:sz="6" w:space="0"/>
              <w:left w:val="single" w:color="auto" w:sz="4" w:space="0"/>
              <w:bottom w:val="single" w:color="auto" w:sz="4" w:space="0"/>
              <w:right w:val="single" w:color="auto" w:sz="6" w:space="0"/>
            </w:tcBorders>
            <w:noWrap w:val="0"/>
            <w:vAlign w:val="center"/>
          </w:tcPr>
          <w:p w14:paraId="683BBDCD">
            <w:pPr>
              <w:pStyle w:val="6"/>
              <w:widowControl w:val="0"/>
              <w:autoSpaceDE w:val="0"/>
              <w:autoSpaceDN w:val="0"/>
              <w:adjustRightInd w:val="0"/>
              <w:spacing w:before="0" w:beforeAutospacing="0" w:after="0" w:afterAutospacing="0" w:line="300" w:lineRule="auto"/>
              <w:ind w:firstLine="105" w:firstLineChars="50"/>
              <w:rPr>
                <w:rFonts w:hint="default" w:cs="宋体"/>
                <w:kern w:val="2"/>
                <w:sz w:val="21"/>
                <w:szCs w:val="21"/>
                <w:highlight w:val="none"/>
              </w:rPr>
            </w:pPr>
            <w:r>
              <w:rPr>
                <w:rFonts w:cs="宋体"/>
                <w:kern w:val="2"/>
                <w:sz w:val="21"/>
                <w:szCs w:val="21"/>
                <w:highlight w:val="none"/>
              </w:rPr>
              <w:t>招标范围</w:t>
            </w:r>
          </w:p>
        </w:tc>
        <w:tc>
          <w:tcPr>
            <w:tcW w:w="5797" w:type="dxa"/>
            <w:tcBorders>
              <w:top w:val="single" w:color="auto" w:sz="6" w:space="0"/>
              <w:left w:val="single" w:color="auto" w:sz="6" w:space="0"/>
              <w:bottom w:val="single" w:color="auto" w:sz="4" w:space="0"/>
              <w:right w:val="single" w:color="auto" w:sz="12" w:space="0"/>
            </w:tcBorders>
            <w:noWrap w:val="0"/>
            <w:vAlign w:val="center"/>
          </w:tcPr>
          <w:p w14:paraId="0FB94E9B">
            <w:pPr>
              <w:pStyle w:val="6"/>
              <w:widowControl w:val="0"/>
              <w:autoSpaceDE w:val="0"/>
              <w:autoSpaceDN w:val="0"/>
              <w:adjustRightInd w:val="0"/>
              <w:spacing w:before="0" w:beforeAutospacing="0" w:after="0" w:afterAutospacing="0" w:line="300" w:lineRule="auto"/>
              <w:ind w:firstLine="105" w:firstLineChars="50"/>
              <w:rPr>
                <w:rFonts w:cs="宋体"/>
                <w:sz w:val="21"/>
                <w:szCs w:val="21"/>
                <w:highlight w:val="none"/>
                <w:lang w:val="zh-CN"/>
              </w:rPr>
            </w:pPr>
            <w:r>
              <w:rPr>
                <w:rFonts w:hint="eastAsia" w:cs="宋体"/>
                <w:sz w:val="21"/>
                <w:szCs w:val="21"/>
                <w:highlight w:val="none"/>
                <w:lang w:val="zh-CN"/>
              </w:rPr>
              <w:t>施工图及工程量清单全部内容</w:t>
            </w:r>
          </w:p>
        </w:tc>
      </w:tr>
      <w:tr w14:paraId="1632F1E0">
        <w:tblPrEx>
          <w:tblCellMar>
            <w:top w:w="0" w:type="dxa"/>
            <w:left w:w="0" w:type="dxa"/>
            <w:bottom w:w="0" w:type="dxa"/>
            <w:right w:w="0" w:type="dxa"/>
          </w:tblCellMar>
        </w:tblPrEx>
        <w:trPr>
          <w:trHeight w:val="549" w:hRule="atLeast"/>
          <w:jc w:val="center"/>
        </w:trPr>
        <w:tc>
          <w:tcPr>
            <w:tcW w:w="1182" w:type="dxa"/>
            <w:tcBorders>
              <w:top w:val="single" w:color="auto" w:sz="4" w:space="0"/>
              <w:left w:val="single" w:color="auto" w:sz="12" w:space="0"/>
              <w:bottom w:val="single" w:color="auto" w:sz="4" w:space="0"/>
              <w:right w:val="single" w:color="auto" w:sz="4" w:space="0"/>
            </w:tcBorders>
            <w:noWrap w:val="0"/>
            <w:vAlign w:val="center"/>
          </w:tcPr>
          <w:p w14:paraId="6B760B6A">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5</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31FF8B15">
            <w:pPr>
              <w:spacing w:line="300" w:lineRule="auto"/>
              <w:ind w:firstLine="105" w:firstLineChars="50"/>
              <w:rPr>
                <w:rFonts w:hint="eastAsia" w:cs="宋体"/>
                <w:sz w:val="21"/>
                <w:szCs w:val="21"/>
                <w:highlight w:val="none"/>
              </w:rPr>
            </w:pPr>
            <w:r>
              <w:rPr>
                <w:rFonts w:hint="eastAsia" w:cs="宋体"/>
                <w:sz w:val="21"/>
                <w:szCs w:val="21"/>
                <w:highlight w:val="none"/>
                <w:lang w:val="zh-CN"/>
              </w:rPr>
              <w:t>资金来源</w:t>
            </w:r>
          </w:p>
        </w:tc>
        <w:tc>
          <w:tcPr>
            <w:tcW w:w="5797" w:type="dxa"/>
            <w:tcBorders>
              <w:top w:val="single" w:color="auto" w:sz="4" w:space="0"/>
              <w:left w:val="single" w:color="auto" w:sz="4" w:space="0"/>
              <w:bottom w:val="single" w:color="auto" w:sz="4" w:space="0"/>
              <w:right w:val="single" w:color="auto" w:sz="12" w:space="0"/>
            </w:tcBorders>
            <w:noWrap w:val="0"/>
            <w:vAlign w:val="center"/>
          </w:tcPr>
          <w:p w14:paraId="0AE4E597">
            <w:pPr>
              <w:spacing w:line="300" w:lineRule="auto"/>
              <w:ind w:firstLine="105" w:firstLineChars="50"/>
              <w:rPr>
                <w:rFonts w:hint="eastAsia" w:cs="宋体"/>
                <w:sz w:val="21"/>
                <w:szCs w:val="21"/>
                <w:highlight w:val="none"/>
              </w:rPr>
            </w:pPr>
            <w:r>
              <w:rPr>
                <w:sz w:val="21"/>
                <w:szCs w:val="21"/>
                <w:highlight w:val="none"/>
              </w:rPr>
              <w:t>企业自筹</w:t>
            </w:r>
          </w:p>
        </w:tc>
      </w:tr>
      <w:tr w14:paraId="45A9A152">
        <w:tblPrEx>
          <w:tblCellMar>
            <w:top w:w="0" w:type="dxa"/>
            <w:left w:w="0" w:type="dxa"/>
            <w:bottom w:w="0" w:type="dxa"/>
            <w:right w:w="0" w:type="dxa"/>
          </w:tblCellMar>
        </w:tblPrEx>
        <w:trPr>
          <w:trHeight w:val="549" w:hRule="atLeast"/>
          <w:jc w:val="center"/>
        </w:trPr>
        <w:tc>
          <w:tcPr>
            <w:tcW w:w="1182" w:type="dxa"/>
            <w:tcBorders>
              <w:top w:val="single" w:color="auto" w:sz="4" w:space="0"/>
              <w:left w:val="single" w:color="auto" w:sz="12" w:space="0"/>
              <w:bottom w:val="single" w:color="auto" w:sz="4" w:space="0"/>
              <w:right w:val="single" w:color="auto" w:sz="4" w:space="0"/>
            </w:tcBorders>
            <w:noWrap w:val="0"/>
            <w:vAlign w:val="center"/>
          </w:tcPr>
          <w:p w14:paraId="4D62AABB">
            <w:pPr>
              <w:pStyle w:val="6"/>
              <w:widowControl w:val="0"/>
              <w:autoSpaceDE w:val="0"/>
              <w:autoSpaceDN w:val="0"/>
              <w:adjustRightInd w:val="0"/>
              <w:spacing w:before="0" w:beforeAutospacing="0" w:after="0" w:afterAutospacing="0" w:line="300" w:lineRule="auto"/>
              <w:ind w:firstLine="0" w:firstLineChars="0"/>
              <w:jc w:val="center"/>
              <w:rPr>
                <w:rFonts w:cs="宋体"/>
                <w:kern w:val="2"/>
                <w:sz w:val="21"/>
                <w:szCs w:val="21"/>
                <w:highlight w:val="none"/>
              </w:rPr>
            </w:pPr>
            <w:r>
              <w:rPr>
                <w:rFonts w:cs="宋体"/>
                <w:kern w:val="2"/>
                <w:sz w:val="21"/>
                <w:szCs w:val="21"/>
                <w:highlight w:val="none"/>
              </w:rPr>
              <w:t>6</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7BD57B44">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rPr>
              <w:t>工期</w:t>
            </w:r>
          </w:p>
        </w:tc>
        <w:tc>
          <w:tcPr>
            <w:tcW w:w="5797" w:type="dxa"/>
            <w:tcBorders>
              <w:top w:val="single" w:color="auto" w:sz="4" w:space="0"/>
              <w:left w:val="single" w:color="auto" w:sz="4" w:space="0"/>
              <w:bottom w:val="single" w:color="auto" w:sz="4" w:space="0"/>
              <w:right w:val="single" w:color="auto" w:sz="12" w:space="0"/>
            </w:tcBorders>
            <w:noWrap w:val="0"/>
            <w:vAlign w:val="center"/>
          </w:tcPr>
          <w:p w14:paraId="19138A7B">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sz w:val="21"/>
                <w:szCs w:val="21"/>
                <w:highlight w:val="none"/>
              </w:rPr>
              <w:t>合同签订后</w:t>
            </w:r>
            <w:r>
              <w:rPr>
                <w:rFonts w:hint="eastAsia" w:cs="宋体"/>
                <w:sz w:val="21"/>
                <w:szCs w:val="21"/>
                <w:highlight w:val="none"/>
                <w:lang w:val="en-US" w:eastAsia="zh-CN"/>
              </w:rPr>
              <w:t>40个日历天</w:t>
            </w:r>
          </w:p>
        </w:tc>
      </w:tr>
      <w:tr w14:paraId="13C57696">
        <w:tblPrEx>
          <w:tblCellMar>
            <w:top w:w="0" w:type="dxa"/>
            <w:left w:w="0" w:type="dxa"/>
            <w:bottom w:w="0" w:type="dxa"/>
            <w:right w:w="0" w:type="dxa"/>
          </w:tblCellMar>
        </w:tblPrEx>
        <w:trPr>
          <w:trHeight w:val="455" w:hRule="atLeast"/>
          <w:jc w:val="center"/>
        </w:trPr>
        <w:tc>
          <w:tcPr>
            <w:tcW w:w="1182" w:type="dxa"/>
            <w:tcBorders>
              <w:top w:val="single" w:color="auto" w:sz="4" w:space="0"/>
              <w:left w:val="single" w:color="auto" w:sz="12" w:space="0"/>
              <w:bottom w:val="single" w:color="auto" w:sz="4" w:space="0"/>
              <w:right w:val="single" w:color="auto" w:sz="4" w:space="0"/>
            </w:tcBorders>
            <w:noWrap w:val="0"/>
            <w:vAlign w:val="center"/>
          </w:tcPr>
          <w:p w14:paraId="79114F57">
            <w:pPr>
              <w:pStyle w:val="6"/>
              <w:widowControl w:val="0"/>
              <w:autoSpaceDE w:val="0"/>
              <w:autoSpaceDN w:val="0"/>
              <w:adjustRightInd w:val="0"/>
              <w:spacing w:before="0" w:beforeAutospacing="0" w:after="0" w:afterAutospacing="0" w:line="300" w:lineRule="auto"/>
              <w:ind w:firstLine="0" w:firstLineChars="0"/>
              <w:jc w:val="center"/>
              <w:rPr>
                <w:rFonts w:cs="宋体"/>
                <w:kern w:val="2"/>
                <w:sz w:val="21"/>
                <w:szCs w:val="21"/>
                <w:highlight w:val="none"/>
              </w:rPr>
            </w:pPr>
            <w:r>
              <w:rPr>
                <w:rFonts w:cs="宋体"/>
                <w:kern w:val="2"/>
                <w:sz w:val="21"/>
                <w:szCs w:val="21"/>
                <w:highlight w:val="none"/>
              </w:rPr>
              <w:t>7</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1A1E0736">
            <w:pPr>
              <w:pStyle w:val="6"/>
              <w:widowControl w:val="0"/>
              <w:autoSpaceDE w:val="0"/>
              <w:autoSpaceDN w:val="0"/>
              <w:adjustRightInd w:val="0"/>
              <w:spacing w:before="0" w:beforeAutospacing="0" w:after="0" w:afterAutospacing="0" w:line="300" w:lineRule="auto"/>
              <w:ind w:firstLine="105" w:firstLineChars="50"/>
              <w:jc w:val="both"/>
              <w:rPr>
                <w:rFonts w:hint="default" w:cs="宋体"/>
                <w:kern w:val="2"/>
                <w:sz w:val="21"/>
                <w:szCs w:val="21"/>
                <w:highlight w:val="none"/>
              </w:rPr>
            </w:pPr>
            <w:r>
              <w:rPr>
                <w:rFonts w:cs="宋体"/>
                <w:kern w:val="2"/>
                <w:sz w:val="21"/>
                <w:szCs w:val="21"/>
                <w:highlight w:val="none"/>
              </w:rPr>
              <w:t>质量标准</w:t>
            </w:r>
          </w:p>
        </w:tc>
        <w:tc>
          <w:tcPr>
            <w:tcW w:w="5797" w:type="dxa"/>
            <w:tcBorders>
              <w:top w:val="single" w:color="auto" w:sz="4" w:space="0"/>
              <w:left w:val="single" w:color="auto" w:sz="4" w:space="0"/>
              <w:bottom w:val="single" w:color="auto" w:sz="4" w:space="0"/>
              <w:right w:val="single" w:color="auto" w:sz="12" w:space="0"/>
            </w:tcBorders>
            <w:noWrap w:val="0"/>
            <w:vAlign w:val="center"/>
          </w:tcPr>
          <w:p w14:paraId="5B6E3A2C">
            <w:pPr>
              <w:pStyle w:val="6"/>
              <w:widowControl w:val="0"/>
              <w:autoSpaceDE w:val="0"/>
              <w:autoSpaceDN w:val="0"/>
              <w:adjustRightInd w:val="0"/>
              <w:spacing w:before="0" w:beforeAutospacing="0" w:after="0" w:afterAutospacing="0" w:line="300" w:lineRule="auto"/>
              <w:ind w:firstLine="105" w:firstLineChars="50"/>
              <w:jc w:val="both"/>
              <w:rPr>
                <w:rFonts w:cs="宋体"/>
                <w:kern w:val="2"/>
                <w:sz w:val="21"/>
                <w:szCs w:val="21"/>
                <w:highlight w:val="none"/>
                <w:lang w:val="zh-CN"/>
              </w:rPr>
            </w:pPr>
            <w:r>
              <w:rPr>
                <w:rFonts w:cs="宋体"/>
                <w:kern w:val="2"/>
                <w:sz w:val="21"/>
                <w:szCs w:val="21"/>
                <w:highlight w:val="none"/>
              </w:rPr>
              <w:t>达到国家质量检验与评定合格标准</w:t>
            </w:r>
          </w:p>
        </w:tc>
      </w:tr>
      <w:tr w14:paraId="79D25391">
        <w:tblPrEx>
          <w:tblCellMar>
            <w:top w:w="0" w:type="dxa"/>
            <w:left w:w="0" w:type="dxa"/>
            <w:bottom w:w="0" w:type="dxa"/>
            <w:right w:w="0" w:type="dxa"/>
          </w:tblCellMar>
        </w:tblPrEx>
        <w:trPr>
          <w:trHeight w:val="549" w:hRule="atLeast"/>
          <w:jc w:val="center"/>
        </w:trPr>
        <w:tc>
          <w:tcPr>
            <w:tcW w:w="1182" w:type="dxa"/>
            <w:tcBorders>
              <w:top w:val="single" w:color="auto" w:sz="4" w:space="0"/>
              <w:left w:val="single" w:color="auto" w:sz="12" w:space="0"/>
              <w:bottom w:val="single" w:color="auto" w:sz="4" w:space="0"/>
              <w:right w:val="single" w:color="auto" w:sz="4" w:space="0"/>
            </w:tcBorders>
            <w:noWrap w:val="0"/>
            <w:vAlign w:val="center"/>
          </w:tcPr>
          <w:p w14:paraId="61B10C1B">
            <w:pPr>
              <w:pStyle w:val="6"/>
              <w:widowControl w:val="0"/>
              <w:autoSpaceDE w:val="0"/>
              <w:autoSpaceDN w:val="0"/>
              <w:adjustRightInd w:val="0"/>
              <w:spacing w:before="0" w:beforeAutospacing="0" w:after="0" w:afterAutospacing="0" w:line="300" w:lineRule="auto"/>
              <w:ind w:firstLine="0" w:firstLineChars="0"/>
              <w:jc w:val="center"/>
              <w:rPr>
                <w:rFonts w:cs="宋体"/>
                <w:kern w:val="2"/>
                <w:sz w:val="21"/>
                <w:szCs w:val="21"/>
                <w:highlight w:val="none"/>
              </w:rPr>
            </w:pPr>
            <w:r>
              <w:rPr>
                <w:rFonts w:cs="宋体"/>
                <w:kern w:val="2"/>
                <w:sz w:val="21"/>
                <w:szCs w:val="21"/>
                <w:highlight w:val="none"/>
              </w:rPr>
              <w:t>8</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292A3753">
            <w:pPr>
              <w:pStyle w:val="6"/>
              <w:widowControl w:val="0"/>
              <w:autoSpaceDE w:val="0"/>
              <w:autoSpaceDN w:val="0"/>
              <w:adjustRightInd w:val="0"/>
              <w:spacing w:before="0" w:beforeAutospacing="0" w:after="0" w:afterAutospacing="0" w:line="300" w:lineRule="auto"/>
              <w:ind w:firstLine="105" w:firstLineChars="50"/>
              <w:jc w:val="both"/>
              <w:rPr>
                <w:rFonts w:cs="宋体"/>
                <w:kern w:val="2"/>
                <w:sz w:val="21"/>
                <w:szCs w:val="21"/>
                <w:highlight w:val="none"/>
                <w:lang w:val="zh-CN"/>
              </w:rPr>
            </w:pPr>
            <w:r>
              <w:rPr>
                <w:rFonts w:cs="宋体"/>
                <w:kern w:val="2"/>
                <w:sz w:val="21"/>
                <w:szCs w:val="21"/>
                <w:highlight w:val="none"/>
                <w:lang w:val="zh-CN"/>
              </w:rPr>
              <w:t>投标人资格要求</w:t>
            </w:r>
          </w:p>
        </w:tc>
        <w:tc>
          <w:tcPr>
            <w:tcW w:w="5797" w:type="dxa"/>
            <w:tcBorders>
              <w:top w:val="single" w:color="auto" w:sz="4" w:space="0"/>
              <w:left w:val="single" w:color="auto" w:sz="4" w:space="0"/>
              <w:bottom w:val="single" w:color="auto" w:sz="4" w:space="0"/>
              <w:right w:val="single" w:color="auto" w:sz="12" w:space="0"/>
            </w:tcBorders>
            <w:noWrap w:val="0"/>
            <w:vAlign w:val="center"/>
          </w:tcPr>
          <w:p w14:paraId="3AEFEC18">
            <w:pPr>
              <w:pStyle w:val="6"/>
              <w:widowControl w:val="0"/>
              <w:autoSpaceDE w:val="0"/>
              <w:autoSpaceDN w:val="0"/>
              <w:adjustRightInd w:val="0"/>
              <w:spacing w:before="0" w:beforeAutospacing="0" w:after="0" w:afterAutospacing="0" w:line="300" w:lineRule="auto"/>
              <w:ind w:firstLine="105" w:firstLineChars="50"/>
              <w:jc w:val="both"/>
              <w:rPr>
                <w:rFonts w:cs="宋体"/>
                <w:kern w:val="2"/>
                <w:sz w:val="21"/>
                <w:szCs w:val="21"/>
                <w:highlight w:val="none"/>
                <w:lang w:val="zh-CN"/>
              </w:rPr>
            </w:pPr>
            <w:r>
              <w:rPr>
                <w:rFonts w:cs="宋体"/>
                <w:kern w:val="2"/>
                <w:sz w:val="21"/>
                <w:szCs w:val="21"/>
                <w:highlight w:val="none"/>
                <w:lang w:val="zh-CN"/>
              </w:rPr>
              <w:t xml:space="preserve">详见“第一章 </w:t>
            </w:r>
            <w:r>
              <w:rPr>
                <w:rFonts w:cs="宋体"/>
                <w:kern w:val="2"/>
                <w:sz w:val="21"/>
                <w:szCs w:val="21"/>
                <w:highlight w:val="none"/>
              </w:rPr>
              <w:t>招标公告</w:t>
            </w:r>
            <w:r>
              <w:rPr>
                <w:rFonts w:cs="宋体"/>
                <w:kern w:val="2"/>
                <w:sz w:val="21"/>
                <w:szCs w:val="21"/>
                <w:highlight w:val="none"/>
                <w:lang w:val="zh-CN"/>
              </w:rPr>
              <w:t>”</w:t>
            </w:r>
          </w:p>
        </w:tc>
      </w:tr>
      <w:tr w14:paraId="561553F1">
        <w:tblPrEx>
          <w:tblCellMar>
            <w:top w:w="0" w:type="dxa"/>
            <w:left w:w="0" w:type="dxa"/>
            <w:bottom w:w="0" w:type="dxa"/>
            <w:right w:w="0" w:type="dxa"/>
          </w:tblCellMar>
        </w:tblPrEx>
        <w:trPr>
          <w:trHeight w:val="549" w:hRule="atLeast"/>
          <w:jc w:val="center"/>
        </w:trPr>
        <w:tc>
          <w:tcPr>
            <w:tcW w:w="1182" w:type="dxa"/>
            <w:tcBorders>
              <w:top w:val="single" w:color="auto" w:sz="4" w:space="0"/>
              <w:left w:val="single" w:color="auto" w:sz="12" w:space="0"/>
              <w:bottom w:val="single" w:color="auto" w:sz="4" w:space="0"/>
              <w:right w:val="single" w:color="auto" w:sz="4" w:space="0"/>
            </w:tcBorders>
            <w:noWrap w:val="0"/>
            <w:vAlign w:val="center"/>
          </w:tcPr>
          <w:p w14:paraId="6A098048">
            <w:pPr>
              <w:pStyle w:val="6"/>
              <w:widowControl w:val="0"/>
              <w:autoSpaceDE w:val="0"/>
              <w:autoSpaceDN w:val="0"/>
              <w:adjustRightInd w:val="0"/>
              <w:spacing w:before="0" w:beforeAutospacing="0" w:after="0" w:afterAutospacing="0" w:line="300" w:lineRule="auto"/>
              <w:ind w:firstLine="0" w:firstLineChars="0"/>
              <w:jc w:val="center"/>
              <w:rPr>
                <w:rFonts w:cs="宋体"/>
                <w:kern w:val="2"/>
                <w:sz w:val="21"/>
                <w:szCs w:val="21"/>
                <w:highlight w:val="none"/>
              </w:rPr>
            </w:pPr>
            <w:r>
              <w:rPr>
                <w:rFonts w:cs="宋体"/>
                <w:kern w:val="2"/>
                <w:sz w:val="21"/>
                <w:szCs w:val="21"/>
                <w:highlight w:val="none"/>
              </w:rPr>
              <w:t>9</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15470ECF">
            <w:pPr>
              <w:pStyle w:val="9"/>
              <w:spacing w:line="300" w:lineRule="auto"/>
              <w:ind w:firstLine="105" w:firstLineChars="50"/>
              <w:jc w:val="both"/>
              <w:rPr>
                <w:rFonts w:cs="宋体"/>
                <w:sz w:val="21"/>
                <w:szCs w:val="21"/>
                <w:highlight w:val="none"/>
              </w:rPr>
            </w:pPr>
            <w:r>
              <w:rPr>
                <w:rFonts w:hint="eastAsia" w:cs="宋体"/>
                <w:sz w:val="21"/>
                <w:szCs w:val="21"/>
                <w:highlight w:val="none"/>
                <w:lang w:val="zh-CN"/>
              </w:rPr>
              <w:t>投标人资格要求</w:t>
            </w:r>
          </w:p>
        </w:tc>
        <w:tc>
          <w:tcPr>
            <w:tcW w:w="5797" w:type="dxa"/>
            <w:tcBorders>
              <w:top w:val="single" w:color="auto" w:sz="4" w:space="0"/>
              <w:left w:val="single" w:color="auto" w:sz="4" w:space="0"/>
              <w:bottom w:val="single" w:color="auto" w:sz="4" w:space="0"/>
              <w:right w:val="single" w:color="auto" w:sz="12" w:space="0"/>
            </w:tcBorders>
            <w:noWrap w:val="0"/>
            <w:vAlign w:val="center"/>
          </w:tcPr>
          <w:p w14:paraId="481A1116">
            <w:pPr>
              <w:pStyle w:val="6"/>
              <w:widowControl w:val="0"/>
              <w:autoSpaceDE w:val="0"/>
              <w:autoSpaceDN w:val="0"/>
              <w:adjustRightInd w:val="0"/>
              <w:spacing w:before="0" w:beforeAutospacing="0" w:after="0" w:afterAutospacing="0" w:line="300" w:lineRule="auto"/>
              <w:ind w:firstLine="105" w:firstLineChars="50"/>
              <w:jc w:val="both"/>
              <w:rPr>
                <w:rFonts w:cs="宋体"/>
                <w:kern w:val="2"/>
                <w:sz w:val="21"/>
                <w:szCs w:val="21"/>
                <w:highlight w:val="none"/>
              </w:rPr>
            </w:pPr>
            <w:r>
              <w:rPr>
                <w:rFonts w:cs="宋体"/>
                <w:kern w:val="2"/>
                <w:sz w:val="21"/>
                <w:szCs w:val="21"/>
                <w:highlight w:val="none"/>
              </w:rPr>
              <w:t>资格后审</w:t>
            </w:r>
          </w:p>
        </w:tc>
      </w:tr>
      <w:tr w14:paraId="5B5B07E1">
        <w:tblPrEx>
          <w:tblCellMar>
            <w:top w:w="0" w:type="dxa"/>
            <w:left w:w="0" w:type="dxa"/>
            <w:bottom w:w="0" w:type="dxa"/>
            <w:right w:w="0" w:type="dxa"/>
          </w:tblCellMar>
        </w:tblPrEx>
        <w:trPr>
          <w:trHeight w:val="549" w:hRule="atLeast"/>
          <w:jc w:val="center"/>
        </w:trPr>
        <w:tc>
          <w:tcPr>
            <w:tcW w:w="1182" w:type="dxa"/>
            <w:tcBorders>
              <w:top w:val="single" w:color="auto" w:sz="4" w:space="0"/>
              <w:left w:val="single" w:color="auto" w:sz="12" w:space="0"/>
              <w:bottom w:val="single" w:color="auto" w:sz="4" w:space="0"/>
              <w:right w:val="single" w:color="auto" w:sz="4" w:space="0"/>
            </w:tcBorders>
            <w:noWrap w:val="0"/>
            <w:vAlign w:val="center"/>
          </w:tcPr>
          <w:p w14:paraId="59D540D9">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10</w:t>
            </w:r>
          </w:p>
        </w:tc>
        <w:tc>
          <w:tcPr>
            <w:tcW w:w="1789" w:type="dxa"/>
            <w:tcBorders>
              <w:top w:val="single" w:color="auto" w:sz="4" w:space="0"/>
              <w:left w:val="single" w:color="auto" w:sz="4" w:space="0"/>
              <w:bottom w:val="single" w:color="auto" w:sz="4" w:space="0"/>
              <w:right w:val="single" w:color="auto" w:sz="4" w:space="0"/>
            </w:tcBorders>
            <w:noWrap w:val="0"/>
            <w:vAlign w:val="top"/>
          </w:tcPr>
          <w:p w14:paraId="4A3ED90D">
            <w:pPr>
              <w:pStyle w:val="9"/>
              <w:spacing w:before="171" w:line="300" w:lineRule="auto"/>
              <w:ind w:firstLine="105" w:firstLineChars="50"/>
              <w:rPr>
                <w:rFonts w:cs="宋体"/>
                <w:sz w:val="21"/>
                <w:szCs w:val="21"/>
                <w:highlight w:val="none"/>
                <w:lang w:val="zh-CN"/>
              </w:rPr>
            </w:pPr>
            <w:r>
              <w:rPr>
                <w:rFonts w:hint="eastAsia" w:cs="宋体"/>
                <w:sz w:val="21"/>
                <w:szCs w:val="21"/>
                <w:highlight w:val="none"/>
                <w:lang w:val="zh-CN"/>
              </w:rPr>
              <w:t>招标控制价</w:t>
            </w:r>
          </w:p>
        </w:tc>
        <w:tc>
          <w:tcPr>
            <w:tcW w:w="5797" w:type="dxa"/>
            <w:tcBorders>
              <w:top w:val="single" w:color="auto" w:sz="4" w:space="0"/>
              <w:left w:val="single" w:color="auto" w:sz="4" w:space="0"/>
              <w:bottom w:val="single" w:color="auto" w:sz="4" w:space="0"/>
              <w:right w:val="single" w:color="auto" w:sz="12" w:space="0"/>
            </w:tcBorders>
            <w:noWrap w:val="0"/>
            <w:vAlign w:val="center"/>
          </w:tcPr>
          <w:p w14:paraId="4F0BC43C">
            <w:pPr>
              <w:keepNext w:val="0"/>
              <w:keepLines w:val="0"/>
              <w:widowControl/>
              <w:suppressLineNumbers w:val="0"/>
              <w:ind w:left="0" w:leftChars="0" w:firstLine="0" w:firstLineChars="0"/>
              <w:jc w:val="left"/>
              <w:rPr>
                <w:rFonts w:cs="宋体"/>
                <w:kern w:val="2"/>
                <w:sz w:val="21"/>
                <w:szCs w:val="21"/>
                <w:highlight w:val="none"/>
              </w:rPr>
            </w:pPr>
            <w:r>
              <w:rPr>
                <w:rFonts w:eastAsia="宋体" w:cs="宋体"/>
                <w:kern w:val="2"/>
                <w:sz w:val="21"/>
                <w:szCs w:val="21"/>
                <w:highlight w:val="none"/>
                <w:lang w:val="zh-CN"/>
              </w:rPr>
              <w:t>招标控制价为：</w:t>
            </w:r>
            <w:r>
              <w:rPr>
                <w:rFonts w:hint="eastAsia" w:eastAsia="宋体" w:cs="宋体"/>
                <w:kern w:val="2"/>
                <w:sz w:val="21"/>
                <w:szCs w:val="21"/>
                <w:highlight w:val="none"/>
                <w:lang w:val="en-US" w:eastAsia="zh-CN"/>
              </w:rPr>
              <w:t>877,438.55</w:t>
            </w:r>
            <w:r>
              <w:rPr>
                <w:rFonts w:eastAsia="宋体" w:cs="宋体"/>
                <w:kern w:val="2"/>
                <w:sz w:val="21"/>
                <w:szCs w:val="21"/>
                <w:highlight w:val="none"/>
                <w:lang w:val="zh-CN"/>
              </w:rPr>
              <w:t>元，投标报价超过招标控制价的为无效报价。</w:t>
            </w:r>
          </w:p>
        </w:tc>
      </w:tr>
      <w:tr w14:paraId="34EF3F31">
        <w:tblPrEx>
          <w:tblCellMar>
            <w:top w:w="0" w:type="dxa"/>
            <w:left w:w="0" w:type="dxa"/>
            <w:bottom w:w="0" w:type="dxa"/>
            <w:right w:w="0" w:type="dxa"/>
          </w:tblCellMar>
        </w:tblPrEx>
        <w:trPr>
          <w:trHeight w:val="549" w:hRule="atLeast"/>
          <w:jc w:val="center"/>
        </w:trPr>
        <w:tc>
          <w:tcPr>
            <w:tcW w:w="1182" w:type="dxa"/>
            <w:tcBorders>
              <w:top w:val="single" w:color="auto" w:sz="4" w:space="0"/>
              <w:left w:val="single" w:color="auto" w:sz="12" w:space="0"/>
              <w:bottom w:val="single" w:color="auto" w:sz="4" w:space="0"/>
              <w:right w:val="single" w:color="auto" w:sz="4" w:space="0"/>
            </w:tcBorders>
            <w:noWrap w:val="0"/>
            <w:vAlign w:val="center"/>
          </w:tcPr>
          <w:p w14:paraId="2AFA1C03">
            <w:pPr>
              <w:pStyle w:val="6"/>
              <w:widowControl w:val="0"/>
              <w:autoSpaceDE w:val="0"/>
              <w:autoSpaceDN w:val="0"/>
              <w:adjustRightInd w:val="0"/>
              <w:spacing w:before="0" w:beforeAutospacing="0" w:after="0" w:afterAutospacing="0" w:line="300" w:lineRule="auto"/>
              <w:ind w:firstLine="0" w:firstLineChars="0"/>
              <w:jc w:val="center"/>
              <w:rPr>
                <w:rFonts w:cs="宋体"/>
                <w:kern w:val="2"/>
                <w:sz w:val="21"/>
                <w:szCs w:val="21"/>
                <w:highlight w:val="none"/>
              </w:rPr>
            </w:pPr>
            <w:r>
              <w:rPr>
                <w:rFonts w:cs="宋体"/>
                <w:kern w:val="2"/>
                <w:sz w:val="21"/>
                <w:szCs w:val="21"/>
                <w:highlight w:val="none"/>
              </w:rPr>
              <w:t>11</w:t>
            </w:r>
          </w:p>
        </w:tc>
        <w:tc>
          <w:tcPr>
            <w:tcW w:w="1789" w:type="dxa"/>
            <w:tcBorders>
              <w:top w:val="single" w:color="auto" w:sz="4" w:space="0"/>
              <w:left w:val="single" w:color="auto" w:sz="4" w:space="0"/>
              <w:bottom w:val="single" w:color="auto" w:sz="4" w:space="0"/>
              <w:right w:val="single" w:color="auto" w:sz="4" w:space="0"/>
            </w:tcBorders>
            <w:noWrap w:val="0"/>
            <w:vAlign w:val="top"/>
          </w:tcPr>
          <w:p w14:paraId="3E328B3E">
            <w:pPr>
              <w:pStyle w:val="9"/>
              <w:spacing w:before="171" w:line="300" w:lineRule="auto"/>
              <w:ind w:firstLine="105" w:firstLineChars="50"/>
              <w:rPr>
                <w:rFonts w:hint="eastAsia" w:cs="宋体"/>
                <w:sz w:val="21"/>
                <w:szCs w:val="21"/>
                <w:highlight w:val="none"/>
                <w:lang w:val="zh-CN"/>
              </w:rPr>
            </w:pPr>
            <w:r>
              <w:rPr>
                <w:rFonts w:hint="eastAsia" w:cs="宋体"/>
                <w:sz w:val="21"/>
                <w:szCs w:val="21"/>
                <w:highlight w:val="none"/>
                <w:lang w:val="zh-CN"/>
              </w:rPr>
              <w:t>付款方式</w:t>
            </w:r>
          </w:p>
        </w:tc>
        <w:tc>
          <w:tcPr>
            <w:tcW w:w="5797" w:type="dxa"/>
            <w:tcBorders>
              <w:top w:val="single" w:color="auto" w:sz="4" w:space="0"/>
              <w:left w:val="single" w:color="auto" w:sz="4" w:space="0"/>
              <w:bottom w:val="single" w:color="auto" w:sz="4" w:space="0"/>
              <w:right w:val="single" w:color="auto" w:sz="12" w:space="0"/>
            </w:tcBorders>
            <w:noWrap w:val="0"/>
            <w:vAlign w:val="top"/>
          </w:tcPr>
          <w:p w14:paraId="55E11F79">
            <w:pPr>
              <w:pStyle w:val="6"/>
              <w:widowControl w:val="0"/>
              <w:autoSpaceDE w:val="0"/>
              <w:autoSpaceDN w:val="0"/>
              <w:adjustRightInd w:val="0"/>
              <w:spacing w:before="0" w:beforeAutospacing="0" w:after="0" w:afterAutospacing="0" w:line="300" w:lineRule="auto"/>
              <w:jc w:val="both"/>
              <w:rPr>
                <w:rFonts w:cs="宋体"/>
                <w:kern w:val="2"/>
                <w:sz w:val="21"/>
                <w:szCs w:val="21"/>
                <w:highlight w:val="none"/>
                <w:lang w:val="zh-CN"/>
              </w:rPr>
            </w:pPr>
            <w:r>
              <w:rPr>
                <w:rFonts w:hint="eastAsia" w:cs="宋体"/>
                <w:kern w:val="2"/>
                <w:sz w:val="21"/>
                <w:szCs w:val="21"/>
                <w:highlight w:val="yellow"/>
                <w:lang w:val="zh-CN"/>
              </w:rPr>
              <w:t>本项目无预付款，</w:t>
            </w:r>
            <w:r>
              <w:rPr>
                <w:rFonts w:hint="eastAsia" w:cs="宋体"/>
                <w:kern w:val="2"/>
                <w:sz w:val="21"/>
                <w:szCs w:val="21"/>
                <w:highlight w:val="yellow"/>
                <w:lang w:val="en-US" w:eastAsia="zh-CN"/>
              </w:rPr>
              <w:t>工程完工</w:t>
            </w:r>
            <w:r>
              <w:rPr>
                <w:rFonts w:hint="eastAsia" w:cs="宋体"/>
                <w:kern w:val="2"/>
                <w:sz w:val="21"/>
                <w:szCs w:val="21"/>
                <w:highlight w:val="yellow"/>
                <w:lang w:val="zh-CN"/>
              </w:rPr>
              <w:t>并验收合格后支付合同金额至</w:t>
            </w:r>
            <w:r>
              <w:rPr>
                <w:rFonts w:hint="eastAsia" w:cs="宋体"/>
                <w:kern w:val="2"/>
                <w:sz w:val="21"/>
                <w:szCs w:val="21"/>
                <w:highlight w:val="yellow"/>
                <w:lang w:val="en-US" w:eastAsia="zh-CN"/>
              </w:rPr>
              <w:t>80</w:t>
            </w:r>
            <w:r>
              <w:rPr>
                <w:rFonts w:hint="eastAsia" w:cs="宋体"/>
                <w:kern w:val="2"/>
                <w:sz w:val="21"/>
                <w:szCs w:val="21"/>
                <w:highlight w:val="yellow"/>
                <w:lang w:val="zh-CN"/>
              </w:rPr>
              <w:t>%，取得行政主管部门（住建/消防）审批通过后支付合同金额至</w:t>
            </w:r>
            <w:r>
              <w:rPr>
                <w:rFonts w:hint="eastAsia" w:cs="宋体"/>
                <w:kern w:val="2"/>
                <w:sz w:val="21"/>
                <w:szCs w:val="21"/>
                <w:highlight w:val="yellow"/>
                <w:lang w:val="en-US" w:eastAsia="zh-CN"/>
              </w:rPr>
              <w:t>90</w:t>
            </w:r>
            <w:r>
              <w:rPr>
                <w:rFonts w:hint="eastAsia" w:cs="宋体"/>
                <w:kern w:val="2"/>
                <w:sz w:val="21"/>
                <w:szCs w:val="21"/>
                <w:highlight w:val="yellow"/>
                <w:lang w:val="zh-CN"/>
              </w:rPr>
              <w:t>%，</w:t>
            </w:r>
            <w:r>
              <w:rPr>
                <w:rFonts w:hint="eastAsia" w:cs="宋体"/>
                <w:kern w:val="2"/>
                <w:sz w:val="21"/>
                <w:szCs w:val="21"/>
                <w:highlight w:val="none"/>
                <w:lang w:val="zh-CN"/>
              </w:rPr>
              <w:t>审计结果确认后支付竣工结算审计金额至98.5%，剩余1.5%作为质保金待缺陷责任期满无质量缺陷后无息支付。</w:t>
            </w:r>
          </w:p>
        </w:tc>
      </w:tr>
      <w:tr w14:paraId="212CFDEC">
        <w:tblPrEx>
          <w:tblCellMar>
            <w:top w:w="0" w:type="dxa"/>
            <w:left w:w="0" w:type="dxa"/>
            <w:bottom w:w="0" w:type="dxa"/>
            <w:right w:w="0" w:type="dxa"/>
          </w:tblCellMar>
        </w:tblPrEx>
        <w:trPr>
          <w:trHeight w:val="549" w:hRule="atLeast"/>
          <w:jc w:val="center"/>
        </w:trPr>
        <w:tc>
          <w:tcPr>
            <w:tcW w:w="1182" w:type="dxa"/>
            <w:tcBorders>
              <w:top w:val="single" w:color="auto" w:sz="4" w:space="0"/>
              <w:left w:val="single" w:color="auto" w:sz="12" w:space="0"/>
              <w:bottom w:val="single" w:color="auto" w:sz="4" w:space="0"/>
              <w:right w:val="single" w:color="auto" w:sz="4" w:space="0"/>
            </w:tcBorders>
            <w:noWrap w:val="0"/>
            <w:vAlign w:val="center"/>
          </w:tcPr>
          <w:p w14:paraId="25EE0457">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12</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042312F8">
            <w:pPr>
              <w:pStyle w:val="9"/>
              <w:spacing w:before="171" w:line="300" w:lineRule="auto"/>
              <w:ind w:firstLine="105" w:firstLineChars="50"/>
              <w:rPr>
                <w:rFonts w:cs="宋体"/>
                <w:sz w:val="21"/>
                <w:szCs w:val="21"/>
                <w:highlight w:val="none"/>
                <w:lang w:val="zh-CN"/>
              </w:rPr>
            </w:pPr>
            <w:r>
              <w:rPr>
                <w:rFonts w:cs="宋体"/>
                <w:sz w:val="21"/>
                <w:szCs w:val="21"/>
                <w:highlight w:val="none"/>
                <w:lang w:val="zh-CN"/>
              </w:rPr>
              <w:t>提出疑问截止时间</w:t>
            </w:r>
          </w:p>
        </w:tc>
        <w:tc>
          <w:tcPr>
            <w:tcW w:w="5797" w:type="dxa"/>
            <w:tcBorders>
              <w:top w:val="single" w:color="auto" w:sz="4" w:space="0"/>
              <w:left w:val="single" w:color="auto" w:sz="4" w:space="0"/>
              <w:bottom w:val="single" w:color="auto" w:sz="4" w:space="0"/>
              <w:right w:val="single" w:color="auto" w:sz="12" w:space="0"/>
            </w:tcBorders>
            <w:noWrap w:val="0"/>
            <w:vAlign w:val="center"/>
          </w:tcPr>
          <w:p w14:paraId="5427BA0C">
            <w:pPr>
              <w:autoSpaceDE w:val="0"/>
              <w:autoSpaceDN w:val="0"/>
              <w:adjustRightInd w:val="0"/>
              <w:spacing w:line="300" w:lineRule="auto"/>
              <w:ind w:firstLine="105" w:firstLineChars="50"/>
              <w:rPr>
                <w:rFonts w:hint="eastAsia" w:cs="宋体"/>
                <w:kern w:val="0"/>
                <w:sz w:val="21"/>
                <w:szCs w:val="21"/>
                <w:highlight w:val="none"/>
              </w:rPr>
            </w:pPr>
            <w:r>
              <w:rPr>
                <w:rFonts w:hint="eastAsia" w:cs="宋体"/>
                <w:kern w:val="0"/>
                <w:sz w:val="21"/>
                <w:szCs w:val="21"/>
                <w:highlight w:val="none"/>
              </w:rPr>
              <w:t>截止开标前三天。</w:t>
            </w:r>
          </w:p>
        </w:tc>
      </w:tr>
      <w:tr w14:paraId="3886DCA3">
        <w:tblPrEx>
          <w:tblCellMar>
            <w:top w:w="0" w:type="dxa"/>
            <w:left w:w="0" w:type="dxa"/>
            <w:bottom w:w="0" w:type="dxa"/>
            <w:right w:w="0" w:type="dxa"/>
          </w:tblCellMar>
        </w:tblPrEx>
        <w:trPr>
          <w:trHeight w:val="77" w:hRule="atLeast"/>
          <w:jc w:val="center"/>
        </w:trPr>
        <w:tc>
          <w:tcPr>
            <w:tcW w:w="1182" w:type="dxa"/>
            <w:tcBorders>
              <w:top w:val="single" w:color="auto" w:sz="4" w:space="0"/>
              <w:left w:val="single" w:color="auto" w:sz="12" w:space="0"/>
              <w:bottom w:val="single" w:color="auto" w:sz="4" w:space="0"/>
              <w:right w:val="single" w:color="auto" w:sz="4" w:space="0"/>
            </w:tcBorders>
            <w:noWrap w:val="0"/>
            <w:vAlign w:val="center"/>
          </w:tcPr>
          <w:p w14:paraId="457D3E26">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13</w:t>
            </w:r>
          </w:p>
        </w:tc>
        <w:tc>
          <w:tcPr>
            <w:tcW w:w="1789" w:type="dxa"/>
            <w:tcBorders>
              <w:top w:val="single" w:color="auto" w:sz="4" w:space="0"/>
              <w:left w:val="single" w:color="auto" w:sz="4" w:space="0"/>
              <w:bottom w:val="single" w:color="auto" w:sz="4" w:space="0"/>
              <w:right w:val="single" w:color="auto" w:sz="4" w:space="0"/>
            </w:tcBorders>
            <w:noWrap w:val="0"/>
            <w:vAlign w:val="center"/>
          </w:tcPr>
          <w:p w14:paraId="5255FB38">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答疑方式及答疑时间</w:t>
            </w:r>
          </w:p>
        </w:tc>
        <w:tc>
          <w:tcPr>
            <w:tcW w:w="5797" w:type="dxa"/>
            <w:tcBorders>
              <w:top w:val="single" w:color="auto" w:sz="4" w:space="0"/>
              <w:left w:val="single" w:color="auto" w:sz="4" w:space="0"/>
              <w:bottom w:val="single" w:color="auto" w:sz="4" w:space="0"/>
              <w:right w:val="single" w:color="auto" w:sz="12" w:space="0"/>
            </w:tcBorders>
            <w:noWrap w:val="0"/>
            <w:vAlign w:val="center"/>
          </w:tcPr>
          <w:p w14:paraId="7AB6D95F">
            <w:pPr>
              <w:autoSpaceDE w:val="0"/>
              <w:autoSpaceDN w:val="0"/>
              <w:adjustRightInd w:val="0"/>
              <w:spacing w:line="300" w:lineRule="auto"/>
              <w:ind w:firstLine="105" w:firstLineChars="50"/>
              <w:rPr>
                <w:rFonts w:hint="eastAsia" w:cs="宋体"/>
                <w:sz w:val="21"/>
                <w:szCs w:val="21"/>
                <w:highlight w:val="none"/>
                <w:u w:val="single"/>
              </w:rPr>
            </w:pPr>
            <w:r>
              <w:rPr>
                <w:rFonts w:hint="eastAsia" w:cs="宋体"/>
                <w:sz w:val="21"/>
                <w:szCs w:val="21"/>
                <w:highlight w:val="none"/>
              </w:rPr>
              <w:t>书面答疑，收到投标人的书面质疑后三个工作日内作出答复。</w:t>
            </w:r>
          </w:p>
        </w:tc>
      </w:tr>
      <w:tr w14:paraId="33BBF5ED">
        <w:tblPrEx>
          <w:tblCellMar>
            <w:top w:w="0" w:type="dxa"/>
            <w:left w:w="0" w:type="dxa"/>
            <w:bottom w:w="0" w:type="dxa"/>
            <w:right w:w="0" w:type="dxa"/>
          </w:tblCellMar>
        </w:tblPrEx>
        <w:trPr>
          <w:trHeight w:val="430" w:hRule="atLeast"/>
          <w:jc w:val="center"/>
        </w:trPr>
        <w:tc>
          <w:tcPr>
            <w:tcW w:w="1182" w:type="dxa"/>
            <w:tcBorders>
              <w:top w:val="single" w:color="auto" w:sz="6" w:space="0"/>
              <w:left w:val="single" w:color="auto" w:sz="12" w:space="0"/>
              <w:right w:val="single" w:color="auto" w:sz="4" w:space="0"/>
            </w:tcBorders>
            <w:noWrap w:val="0"/>
            <w:vAlign w:val="center"/>
          </w:tcPr>
          <w:p w14:paraId="44BC1A91">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14</w:t>
            </w:r>
          </w:p>
        </w:tc>
        <w:tc>
          <w:tcPr>
            <w:tcW w:w="1789" w:type="dxa"/>
            <w:tcBorders>
              <w:top w:val="single" w:color="auto" w:sz="6" w:space="0"/>
              <w:left w:val="single" w:color="auto" w:sz="4" w:space="0"/>
              <w:right w:val="single" w:color="auto" w:sz="6" w:space="0"/>
            </w:tcBorders>
            <w:noWrap w:val="0"/>
            <w:vAlign w:val="center"/>
          </w:tcPr>
          <w:p w14:paraId="05316EC8">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联合体</w:t>
            </w:r>
          </w:p>
        </w:tc>
        <w:tc>
          <w:tcPr>
            <w:tcW w:w="5797" w:type="dxa"/>
            <w:tcBorders>
              <w:top w:val="single" w:color="auto" w:sz="6" w:space="0"/>
              <w:left w:val="single" w:color="auto" w:sz="6" w:space="0"/>
              <w:right w:val="single" w:color="auto" w:sz="12" w:space="0"/>
            </w:tcBorders>
            <w:noWrap w:val="0"/>
            <w:vAlign w:val="center"/>
          </w:tcPr>
          <w:p w14:paraId="5C9DFD78">
            <w:pPr>
              <w:tabs>
                <w:tab w:val="left" w:pos="420"/>
              </w:tabs>
              <w:spacing w:line="300" w:lineRule="auto"/>
              <w:ind w:firstLine="105" w:firstLineChars="50"/>
              <w:rPr>
                <w:rFonts w:hint="eastAsia" w:cs="宋体"/>
                <w:sz w:val="21"/>
                <w:szCs w:val="21"/>
                <w:highlight w:val="none"/>
              </w:rPr>
            </w:pPr>
            <w:r>
              <w:rPr>
                <w:rFonts w:hint="eastAsia" w:cs="宋体"/>
                <w:sz w:val="21"/>
                <w:szCs w:val="21"/>
                <w:highlight w:val="none"/>
              </w:rPr>
              <w:t>本次招标不接受联合体投标。</w:t>
            </w:r>
          </w:p>
        </w:tc>
      </w:tr>
      <w:tr w14:paraId="60D80A01">
        <w:tblPrEx>
          <w:tblCellMar>
            <w:top w:w="0" w:type="dxa"/>
            <w:left w:w="0" w:type="dxa"/>
            <w:bottom w:w="0" w:type="dxa"/>
            <w:right w:w="0" w:type="dxa"/>
          </w:tblCellMar>
        </w:tblPrEx>
        <w:trPr>
          <w:trHeight w:val="565" w:hRule="atLeast"/>
          <w:jc w:val="center"/>
        </w:trPr>
        <w:tc>
          <w:tcPr>
            <w:tcW w:w="1182" w:type="dxa"/>
            <w:tcBorders>
              <w:top w:val="single" w:color="auto" w:sz="6" w:space="0"/>
              <w:left w:val="single" w:color="auto" w:sz="12" w:space="0"/>
              <w:bottom w:val="single" w:color="auto" w:sz="6" w:space="0"/>
              <w:right w:val="single" w:color="auto" w:sz="4" w:space="0"/>
            </w:tcBorders>
            <w:noWrap w:val="0"/>
            <w:vAlign w:val="center"/>
          </w:tcPr>
          <w:p w14:paraId="2FAC1E01">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15</w:t>
            </w:r>
          </w:p>
        </w:tc>
        <w:tc>
          <w:tcPr>
            <w:tcW w:w="1789" w:type="dxa"/>
            <w:tcBorders>
              <w:top w:val="single" w:color="auto" w:sz="6" w:space="0"/>
              <w:left w:val="single" w:color="auto" w:sz="4" w:space="0"/>
              <w:bottom w:val="single" w:color="auto" w:sz="6" w:space="0"/>
              <w:right w:val="single" w:color="auto" w:sz="6" w:space="0"/>
            </w:tcBorders>
            <w:noWrap w:val="0"/>
            <w:vAlign w:val="center"/>
          </w:tcPr>
          <w:p w14:paraId="1E23426C">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投标有效期</w:t>
            </w:r>
          </w:p>
        </w:tc>
        <w:tc>
          <w:tcPr>
            <w:tcW w:w="5797" w:type="dxa"/>
            <w:tcBorders>
              <w:top w:val="single" w:color="auto" w:sz="6" w:space="0"/>
              <w:left w:val="single" w:color="auto" w:sz="6" w:space="0"/>
              <w:bottom w:val="single" w:color="auto" w:sz="6" w:space="0"/>
              <w:right w:val="single" w:color="auto" w:sz="12" w:space="0"/>
            </w:tcBorders>
            <w:noWrap w:val="0"/>
            <w:vAlign w:val="center"/>
          </w:tcPr>
          <w:p w14:paraId="0140241F">
            <w:pPr>
              <w:autoSpaceDE w:val="0"/>
              <w:autoSpaceDN w:val="0"/>
              <w:adjustRightInd w:val="0"/>
              <w:spacing w:line="300" w:lineRule="auto"/>
              <w:ind w:firstLine="105" w:firstLineChars="50"/>
              <w:rPr>
                <w:rFonts w:hint="eastAsia" w:cs="宋体"/>
                <w:sz w:val="21"/>
                <w:szCs w:val="21"/>
                <w:highlight w:val="none"/>
              </w:rPr>
            </w:pPr>
            <w:r>
              <w:rPr>
                <w:rFonts w:hint="eastAsia" w:cs="宋体"/>
                <w:sz w:val="21"/>
                <w:szCs w:val="21"/>
                <w:highlight w:val="none"/>
              </w:rPr>
              <w:t>本次招标项目</w:t>
            </w:r>
            <w:r>
              <w:rPr>
                <w:rFonts w:hint="eastAsia" w:cs="宋体"/>
                <w:snapToGrid w:val="0"/>
                <w:kern w:val="0"/>
                <w:sz w:val="21"/>
                <w:szCs w:val="21"/>
                <w:highlight w:val="none"/>
                <w:lang w:val="zh-CN"/>
              </w:rPr>
              <w:t>投标有效期为</w:t>
            </w:r>
            <w:r>
              <w:rPr>
                <w:rFonts w:hint="eastAsia" w:cs="宋体"/>
                <w:snapToGrid w:val="0"/>
                <w:kern w:val="0"/>
                <w:sz w:val="21"/>
                <w:szCs w:val="21"/>
                <w:highlight w:val="none"/>
                <w:u w:val="single"/>
                <w:lang w:val="zh-CN"/>
              </w:rPr>
              <w:t>90</w:t>
            </w:r>
            <w:r>
              <w:rPr>
                <w:rFonts w:hint="eastAsia" w:cs="宋体"/>
                <w:snapToGrid w:val="0"/>
                <w:kern w:val="0"/>
                <w:sz w:val="21"/>
                <w:szCs w:val="21"/>
                <w:highlight w:val="none"/>
                <w:lang w:val="zh-CN"/>
              </w:rPr>
              <w:t>日历天。</w:t>
            </w:r>
          </w:p>
        </w:tc>
      </w:tr>
      <w:tr w14:paraId="5A8F907A">
        <w:tblPrEx>
          <w:tblCellMar>
            <w:top w:w="0" w:type="dxa"/>
            <w:left w:w="0" w:type="dxa"/>
            <w:bottom w:w="0" w:type="dxa"/>
            <w:right w:w="0" w:type="dxa"/>
          </w:tblCellMar>
        </w:tblPrEx>
        <w:trPr>
          <w:trHeight w:val="65" w:hRule="atLeast"/>
          <w:jc w:val="center"/>
        </w:trPr>
        <w:tc>
          <w:tcPr>
            <w:tcW w:w="1182" w:type="dxa"/>
            <w:tcBorders>
              <w:top w:val="single" w:color="auto" w:sz="6" w:space="0"/>
              <w:left w:val="single" w:color="auto" w:sz="12" w:space="0"/>
              <w:bottom w:val="single" w:color="auto" w:sz="6" w:space="0"/>
              <w:right w:val="single" w:color="auto" w:sz="4" w:space="0"/>
            </w:tcBorders>
            <w:noWrap w:val="0"/>
            <w:vAlign w:val="center"/>
          </w:tcPr>
          <w:p w14:paraId="05BC7153">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16</w:t>
            </w:r>
          </w:p>
        </w:tc>
        <w:tc>
          <w:tcPr>
            <w:tcW w:w="1789" w:type="dxa"/>
            <w:tcBorders>
              <w:top w:val="single" w:color="auto" w:sz="6" w:space="0"/>
              <w:left w:val="single" w:color="auto" w:sz="4" w:space="0"/>
              <w:bottom w:val="single" w:color="auto" w:sz="6" w:space="0"/>
              <w:right w:val="single" w:color="auto" w:sz="6" w:space="0"/>
            </w:tcBorders>
            <w:noWrap w:val="0"/>
            <w:vAlign w:val="center"/>
          </w:tcPr>
          <w:p w14:paraId="114E9DC8">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投标文件正、副本数量</w:t>
            </w:r>
          </w:p>
        </w:tc>
        <w:tc>
          <w:tcPr>
            <w:tcW w:w="5797" w:type="dxa"/>
            <w:tcBorders>
              <w:top w:val="single" w:color="auto" w:sz="6" w:space="0"/>
              <w:left w:val="single" w:color="auto" w:sz="6" w:space="0"/>
              <w:bottom w:val="single" w:color="auto" w:sz="6" w:space="0"/>
              <w:right w:val="single" w:color="auto" w:sz="12" w:space="0"/>
            </w:tcBorders>
            <w:noWrap w:val="0"/>
            <w:vAlign w:val="center"/>
          </w:tcPr>
          <w:p w14:paraId="2579D656">
            <w:pPr>
              <w:autoSpaceDE w:val="0"/>
              <w:autoSpaceDN w:val="0"/>
              <w:adjustRightInd w:val="0"/>
              <w:spacing w:line="300" w:lineRule="auto"/>
              <w:ind w:firstLine="105" w:firstLineChars="50"/>
              <w:rPr>
                <w:rFonts w:hint="eastAsia"/>
                <w:sz w:val="21"/>
                <w:szCs w:val="21"/>
                <w:highlight w:val="none"/>
                <w:lang w:val="zh-CN"/>
              </w:rPr>
            </w:pPr>
            <w:r>
              <w:rPr>
                <w:rFonts w:hint="eastAsia"/>
                <w:sz w:val="21"/>
                <w:szCs w:val="21"/>
                <w:highlight w:val="none"/>
                <w:lang w:val="zh-CN"/>
              </w:rPr>
              <w:t>加密 PDF 电子投标文件一份。</w:t>
            </w:r>
          </w:p>
          <w:p w14:paraId="2F3AA10B">
            <w:pPr>
              <w:pStyle w:val="5"/>
              <w:spacing w:line="300" w:lineRule="auto"/>
              <w:ind w:firstLine="105" w:firstLineChars="50"/>
              <w:jc w:val="both"/>
              <w:rPr>
                <w:rFonts w:hint="eastAsia"/>
                <w:sz w:val="21"/>
                <w:szCs w:val="21"/>
                <w:highlight w:val="none"/>
              </w:rPr>
            </w:pPr>
            <w:r>
              <w:rPr>
                <w:rFonts w:hint="eastAsia" w:ascii="宋体" w:hAnsi="宋体" w:cs="Times New Roman"/>
                <w:kern w:val="0"/>
                <w:sz w:val="21"/>
                <w:szCs w:val="21"/>
                <w:highlight w:val="none"/>
                <w:lang w:val="zh-CN"/>
              </w:rPr>
              <w:t>中标后需提供与电子文件相同的纸质版投标文件正本1份，副本</w:t>
            </w:r>
            <w:r>
              <w:rPr>
                <w:rFonts w:hint="eastAsia" w:ascii="宋体" w:hAnsi="宋体" w:cs="Times New Roman"/>
                <w:kern w:val="0"/>
                <w:sz w:val="21"/>
                <w:szCs w:val="21"/>
                <w:highlight w:val="none"/>
                <w:lang w:val="en-US" w:eastAsia="zh-CN"/>
              </w:rPr>
              <w:t>2</w:t>
            </w:r>
            <w:r>
              <w:rPr>
                <w:rFonts w:hint="eastAsia" w:ascii="宋体" w:hAnsi="宋体" w:cs="Times New Roman"/>
                <w:kern w:val="0"/>
                <w:sz w:val="21"/>
                <w:szCs w:val="21"/>
                <w:highlight w:val="none"/>
                <w:lang w:val="zh-CN"/>
              </w:rPr>
              <w:t>份。</w:t>
            </w:r>
          </w:p>
        </w:tc>
      </w:tr>
      <w:tr w14:paraId="19EA109B">
        <w:tblPrEx>
          <w:tblCellMar>
            <w:top w:w="0" w:type="dxa"/>
            <w:left w:w="0" w:type="dxa"/>
            <w:bottom w:w="0" w:type="dxa"/>
            <w:right w:w="0" w:type="dxa"/>
          </w:tblCellMar>
        </w:tblPrEx>
        <w:trPr>
          <w:trHeight w:val="65" w:hRule="atLeast"/>
          <w:jc w:val="center"/>
        </w:trPr>
        <w:tc>
          <w:tcPr>
            <w:tcW w:w="1182" w:type="dxa"/>
            <w:tcBorders>
              <w:top w:val="single" w:color="auto" w:sz="6" w:space="0"/>
              <w:left w:val="single" w:color="auto" w:sz="12" w:space="0"/>
              <w:bottom w:val="single" w:color="auto" w:sz="6" w:space="0"/>
              <w:right w:val="single" w:color="auto" w:sz="4" w:space="0"/>
            </w:tcBorders>
            <w:noWrap w:val="0"/>
            <w:vAlign w:val="center"/>
          </w:tcPr>
          <w:p w14:paraId="4BAC3CC4">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17</w:t>
            </w:r>
          </w:p>
        </w:tc>
        <w:tc>
          <w:tcPr>
            <w:tcW w:w="1789" w:type="dxa"/>
            <w:tcBorders>
              <w:top w:val="single" w:color="auto" w:sz="6" w:space="0"/>
              <w:left w:val="single" w:color="auto" w:sz="4" w:space="0"/>
              <w:bottom w:val="single" w:color="auto" w:sz="6" w:space="0"/>
              <w:right w:val="single" w:color="auto" w:sz="6" w:space="0"/>
            </w:tcBorders>
            <w:noWrap w:val="0"/>
            <w:vAlign w:val="center"/>
          </w:tcPr>
          <w:p w14:paraId="6EEEE958">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投标截止时间、投标文件递交截止时间及地点</w:t>
            </w:r>
          </w:p>
        </w:tc>
        <w:tc>
          <w:tcPr>
            <w:tcW w:w="5797" w:type="dxa"/>
            <w:tcBorders>
              <w:top w:val="single" w:color="auto" w:sz="6" w:space="0"/>
              <w:left w:val="single" w:color="auto" w:sz="6" w:space="0"/>
              <w:bottom w:val="single" w:color="auto" w:sz="6" w:space="0"/>
              <w:right w:val="single" w:color="auto" w:sz="12" w:space="0"/>
            </w:tcBorders>
            <w:noWrap w:val="0"/>
            <w:vAlign w:val="center"/>
          </w:tcPr>
          <w:p w14:paraId="153517E9">
            <w:pPr>
              <w:autoSpaceDE w:val="0"/>
              <w:autoSpaceDN w:val="0"/>
              <w:adjustRightInd w:val="0"/>
              <w:spacing w:line="300" w:lineRule="auto"/>
              <w:ind w:firstLine="105" w:firstLineChars="50"/>
              <w:rPr>
                <w:rFonts w:hint="eastAsia" w:cs="宋体"/>
                <w:b/>
                <w:bCs/>
                <w:color w:val="FF0000"/>
                <w:sz w:val="21"/>
                <w:szCs w:val="21"/>
                <w:highlight w:val="none"/>
              </w:rPr>
            </w:pPr>
            <w:r>
              <w:rPr>
                <w:rFonts w:hint="eastAsia" w:cs="宋体"/>
                <w:b/>
                <w:bCs/>
                <w:color w:val="FF0000"/>
                <w:sz w:val="21"/>
                <w:szCs w:val="21"/>
                <w:highlight w:val="none"/>
              </w:rPr>
              <w:t>时间：</w:t>
            </w:r>
            <w:r>
              <w:rPr>
                <w:rFonts w:hint="eastAsia" w:cs="宋体"/>
                <w:b/>
                <w:bCs/>
                <w:color w:val="FF0000"/>
                <w:sz w:val="21"/>
                <w:szCs w:val="21"/>
                <w:highlight w:val="none"/>
                <w:lang w:eastAsia="zh-CN"/>
              </w:rPr>
              <w:t>2025</w:t>
            </w:r>
            <w:r>
              <w:rPr>
                <w:rFonts w:hint="eastAsia" w:cs="宋体"/>
                <w:b/>
                <w:bCs/>
                <w:color w:val="FF0000"/>
                <w:sz w:val="21"/>
                <w:szCs w:val="21"/>
                <w:highlight w:val="none"/>
              </w:rPr>
              <w:t>年</w:t>
            </w:r>
            <w:r>
              <w:rPr>
                <w:rFonts w:hint="eastAsia" w:cs="宋体"/>
                <w:b/>
                <w:bCs/>
                <w:color w:val="FF0000"/>
                <w:sz w:val="21"/>
                <w:szCs w:val="21"/>
                <w:highlight w:val="none"/>
                <w:lang w:val="en-US" w:eastAsia="zh-CN"/>
              </w:rPr>
              <w:t>7</w:t>
            </w:r>
            <w:r>
              <w:rPr>
                <w:rFonts w:hint="eastAsia" w:cs="宋体"/>
                <w:b/>
                <w:bCs/>
                <w:color w:val="FF0000"/>
                <w:sz w:val="21"/>
                <w:szCs w:val="21"/>
                <w:highlight w:val="none"/>
              </w:rPr>
              <w:t>月</w:t>
            </w:r>
            <w:r>
              <w:rPr>
                <w:rFonts w:hint="eastAsia" w:cs="宋体"/>
                <w:b/>
                <w:bCs/>
                <w:color w:val="FF0000"/>
                <w:sz w:val="21"/>
                <w:szCs w:val="21"/>
                <w:highlight w:val="none"/>
                <w:lang w:val="en-US" w:eastAsia="zh-CN"/>
              </w:rPr>
              <w:t>8</w:t>
            </w:r>
            <w:r>
              <w:rPr>
                <w:rFonts w:hint="eastAsia" w:cs="宋体"/>
                <w:b/>
                <w:bCs/>
                <w:color w:val="FF0000"/>
                <w:sz w:val="21"/>
                <w:szCs w:val="21"/>
                <w:highlight w:val="none"/>
              </w:rPr>
              <w:t>日</w:t>
            </w:r>
            <w:r>
              <w:rPr>
                <w:rFonts w:hint="eastAsia" w:cs="宋体"/>
                <w:b/>
                <w:bCs/>
                <w:color w:val="FF0000"/>
                <w:sz w:val="21"/>
                <w:szCs w:val="21"/>
                <w:highlight w:val="none"/>
                <w:lang w:val="en-US" w:eastAsia="zh-CN"/>
              </w:rPr>
              <w:t xml:space="preserve">09 </w:t>
            </w:r>
            <w:r>
              <w:rPr>
                <w:rFonts w:hint="eastAsia" w:cs="宋体"/>
                <w:b/>
                <w:bCs/>
                <w:color w:val="FF0000"/>
                <w:sz w:val="21"/>
                <w:szCs w:val="21"/>
                <w:highlight w:val="none"/>
              </w:rPr>
              <w:t>时</w:t>
            </w:r>
            <w:r>
              <w:rPr>
                <w:rFonts w:hint="eastAsia" w:cs="宋体"/>
                <w:b/>
                <w:bCs/>
                <w:color w:val="FF0000"/>
                <w:sz w:val="21"/>
                <w:szCs w:val="21"/>
                <w:highlight w:val="none"/>
                <w:lang w:val="en-US" w:eastAsia="zh-CN"/>
              </w:rPr>
              <w:t>30分</w:t>
            </w:r>
            <w:r>
              <w:rPr>
                <w:rFonts w:hint="eastAsia" w:cs="宋体"/>
                <w:b/>
                <w:bCs/>
                <w:color w:val="FF0000"/>
                <w:sz w:val="21"/>
                <w:szCs w:val="21"/>
                <w:highlight w:val="none"/>
              </w:rPr>
              <w:t>前</w:t>
            </w:r>
          </w:p>
          <w:p w14:paraId="2CF98551">
            <w:pPr>
              <w:autoSpaceDE w:val="0"/>
              <w:autoSpaceDN w:val="0"/>
              <w:adjustRightInd w:val="0"/>
              <w:spacing w:line="300" w:lineRule="auto"/>
              <w:ind w:firstLine="105" w:firstLineChars="50"/>
              <w:rPr>
                <w:rFonts w:hint="eastAsia" w:cs="宋体"/>
                <w:sz w:val="21"/>
                <w:szCs w:val="21"/>
                <w:highlight w:val="none"/>
              </w:rPr>
            </w:pPr>
            <w:r>
              <w:rPr>
                <w:rFonts w:hint="eastAsia" w:cs="宋体"/>
                <w:sz w:val="21"/>
                <w:szCs w:val="21"/>
                <w:highlight w:val="none"/>
              </w:rPr>
              <w:t>地点：投标人应当在投标截止时间前，以网上方式上传递交投标文件。</w:t>
            </w:r>
          </w:p>
        </w:tc>
      </w:tr>
      <w:tr w14:paraId="516914FE">
        <w:tblPrEx>
          <w:tblCellMar>
            <w:top w:w="0" w:type="dxa"/>
            <w:left w:w="0" w:type="dxa"/>
            <w:bottom w:w="0" w:type="dxa"/>
            <w:right w:w="0" w:type="dxa"/>
          </w:tblCellMar>
        </w:tblPrEx>
        <w:trPr>
          <w:trHeight w:val="1142" w:hRule="atLeast"/>
          <w:jc w:val="center"/>
        </w:trPr>
        <w:tc>
          <w:tcPr>
            <w:tcW w:w="1182" w:type="dxa"/>
            <w:tcBorders>
              <w:top w:val="single" w:color="auto" w:sz="6" w:space="0"/>
              <w:left w:val="single" w:color="auto" w:sz="12" w:space="0"/>
              <w:bottom w:val="single" w:color="auto" w:sz="6" w:space="0"/>
              <w:right w:val="single" w:color="auto" w:sz="4" w:space="0"/>
            </w:tcBorders>
            <w:noWrap w:val="0"/>
            <w:vAlign w:val="center"/>
          </w:tcPr>
          <w:p w14:paraId="696C8A3E">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18</w:t>
            </w:r>
          </w:p>
        </w:tc>
        <w:tc>
          <w:tcPr>
            <w:tcW w:w="1789" w:type="dxa"/>
            <w:tcBorders>
              <w:top w:val="single" w:color="auto" w:sz="6" w:space="0"/>
              <w:left w:val="single" w:color="auto" w:sz="4" w:space="0"/>
              <w:bottom w:val="single" w:color="auto" w:sz="6" w:space="0"/>
              <w:right w:val="single" w:color="auto" w:sz="6" w:space="0"/>
            </w:tcBorders>
            <w:noWrap w:val="0"/>
            <w:vAlign w:val="center"/>
          </w:tcPr>
          <w:p w14:paraId="6A3EDC3F">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开标时间及地点</w:t>
            </w:r>
          </w:p>
        </w:tc>
        <w:tc>
          <w:tcPr>
            <w:tcW w:w="5797" w:type="dxa"/>
            <w:tcBorders>
              <w:top w:val="single" w:color="auto" w:sz="6" w:space="0"/>
              <w:left w:val="single" w:color="auto" w:sz="6" w:space="0"/>
              <w:bottom w:val="single" w:color="auto" w:sz="6" w:space="0"/>
              <w:right w:val="single" w:color="auto" w:sz="12" w:space="0"/>
            </w:tcBorders>
            <w:noWrap w:val="0"/>
            <w:vAlign w:val="center"/>
          </w:tcPr>
          <w:p w14:paraId="6E561FDE">
            <w:pPr>
              <w:autoSpaceDE w:val="0"/>
              <w:autoSpaceDN w:val="0"/>
              <w:adjustRightInd w:val="0"/>
              <w:spacing w:line="300" w:lineRule="auto"/>
              <w:ind w:firstLine="105" w:firstLineChars="50"/>
              <w:rPr>
                <w:rFonts w:hint="eastAsia" w:cs="宋体"/>
                <w:b/>
                <w:bCs/>
                <w:sz w:val="21"/>
                <w:szCs w:val="21"/>
                <w:highlight w:val="none"/>
                <w:u w:val="single"/>
              </w:rPr>
            </w:pPr>
            <w:r>
              <w:rPr>
                <w:rFonts w:hint="eastAsia" w:cs="宋体"/>
                <w:sz w:val="21"/>
                <w:szCs w:val="21"/>
                <w:highlight w:val="none"/>
                <w:lang w:val="zh-CN"/>
              </w:rPr>
              <w:t>开标时间</w:t>
            </w:r>
            <w:r>
              <w:rPr>
                <w:rFonts w:hint="eastAsia" w:cs="宋体"/>
                <w:color w:val="FF0000"/>
                <w:sz w:val="21"/>
                <w:szCs w:val="21"/>
                <w:highlight w:val="none"/>
                <w:lang w:val="zh-CN"/>
              </w:rPr>
              <w:t>：</w:t>
            </w:r>
            <w:r>
              <w:rPr>
                <w:rFonts w:hint="eastAsia" w:cs="宋体"/>
                <w:b/>
                <w:bCs/>
                <w:color w:val="FF0000"/>
                <w:sz w:val="21"/>
                <w:szCs w:val="21"/>
                <w:highlight w:val="none"/>
                <w:lang w:eastAsia="zh-CN"/>
              </w:rPr>
              <w:t>2025</w:t>
            </w:r>
            <w:r>
              <w:rPr>
                <w:rFonts w:hint="eastAsia" w:cs="宋体"/>
                <w:b/>
                <w:bCs/>
                <w:color w:val="FF0000"/>
                <w:sz w:val="21"/>
                <w:szCs w:val="21"/>
                <w:highlight w:val="none"/>
              </w:rPr>
              <w:t>年</w:t>
            </w:r>
            <w:r>
              <w:rPr>
                <w:rFonts w:hint="eastAsia" w:cs="宋体"/>
                <w:b/>
                <w:bCs/>
                <w:color w:val="FF0000"/>
                <w:sz w:val="21"/>
                <w:szCs w:val="21"/>
                <w:highlight w:val="none"/>
                <w:lang w:val="en-US" w:eastAsia="zh-CN"/>
              </w:rPr>
              <w:t>7</w:t>
            </w:r>
            <w:r>
              <w:rPr>
                <w:rFonts w:hint="eastAsia" w:cs="宋体"/>
                <w:b/>
                <w:bCs/>
                <w:color w:val="FF0000"/>
                <w:sz w:val="21"/>
                <w:szCs w:val="21"/>
                <w:highlight w:val="none"/>
              </w:rPr>
              <w:t>月</w:t>
            </w:r>
            <w:r>
              <w:rPr>
                <w:rFonts w:hint="eastAsia" w:cs="宋体"/>
                <w:b/>
                <w:bCs/>
                <w:color w:val="FF0000"/>
                <w:sz w:val="21"/>
                <w:szCs w:val="21"/>
                <w:highlight w:val="none"/>
                <w:lang w:val="en-US" w:eastAsia="zh-CN"/>
              </w:rPr>
              <w:t>8</w:t>
            </w:r>
            <w:r>
              <w:rPr>
                <w:rFonts w:hint="eastAsia" w:cs="宋体"/>
                <w:b/>
                <w:bCs/>
                <w:color w:val="FF0000"/>
                <w:sz w:val="21"/>
                <w:szCs w:val="21"/>
                <w:highlight w:val="none"/>
              </w:rPr>
              <w:t>日</w:t>
            </w:r>
            <w:r>
              <w:rPr>
                <w:rFonts w:hint="eastAsia" w:cs="宋体"/>
                <w:b/>
                <w:bCs/>
                <w:color w:val="FF0000"/>
                <w:sz w:val="21"/>
                <w:szCs w:val="21"/>
                <w:highlight w:val="none"/>
                <w:lang w:val="en-US" w:eastAsia="zh-CN"/>
              </w:rPr>
              <w:t xml:space="preserve">09 </w:t>
            </w:r>
            <w:r>
              <w:rPr>
                <w:rFonts w:hint="eastAsia" w:cs="宋体"/>
                <w:b/>
                <w:bCs/>
                <w:color w:val="FF0000"/>
                <w:sz w:val="21"/>
                <w:szCs w:val="21"/>
                <w:highlight w:val="none"/>
              </w:rPr>
              <w:t>时</w:t>
            </w:r>
            <w:r>
              <w:rPr>
                <w:rFonts w:hint="eastAsia" w:cs="宋体"/>
                <w:b/>
                <w:bCs/>
                <w:color w:val="FF0000"/>
                <w:sz w:val="21"/>
                <w:szCs w:val="21"/>
                <w:highlight w:val="none"/>
                <w:lang w:val="en-US" w:eastAsia="zh-CN"/>
              </w:rPr>
              <w:t>30分</w:t>
            </w:r>
          </w:p>
          <w:p w14:paraId="04A95E45">
            <w:pPr>
              <w:autoSpaceDE w:val="0"/>
              <w:autoSpaceDN w:val="0"/>
              <w:adjustRightInd w:val="0"/>
              <w:spacing w:line="300" w:lineRule="auto"/>
              <w:ind w:firstLine="105" w:firstLineChars="50"/>
              <w:rPr>
                <w:rFonts w:hint="eastAsia" w:cs="宋体"/>
                <w:sz w:val="21"/>
                <w:szCs w:val="21"/>
                <w:highlight w:val="none"/>
                <w:u w:val="single"/>
              </w:rPr>
            </w:pPr>
            <w:r>
              <w:rPr>
                <w:rFonts w:hint="eastAsia" w:cs="宋体"/>
                <w:sz w:val="21"/>
                <w:szCs w:val="21"/>
                <w:highlight w:val="none"/>
              </w:rPr>
              <w:t>开标地点：同投标文件递交地点。</w:t>
            </w:r>
          </w:p>
        </w:tc>
      </w:tr>
      <w:tr w14:paraId="6DC160EE">
        <w:tblPrEx>
          <w:tblCellMar>
            <w:top w:w="0" w:type="dxa"/>
            <w:left w:w="0" w:type="dxa"/>
            <w:bottom w:w="0" w:type="dxa"/>
            <w:right w:w="0" w:type="dxa"/>
          </w:tblCellMar>
        </w:tblPrEx>
        <w:trPr>
          <w:trHeight w:val="1142" w:hRule="atLeast"/>
          <w:jc w:val="center"/>
        </w:trPr>
        <w:tc>
          <w:tcPr>
            <w:tcW w:w="1182" w:type="dxa"/>
            <w:tcBorders>
              <w:top w:val="single" w:color="auto" w:sz="6" w:space="0"/>
              <w:left w:val="single" w:color="auto" w:sz="12" w:space="0"/>
              <w:bottom w:val="single" w:color="auto" w:sz="6" w:space="0"/>
              <w:right w:val="single" w:color="auto" w:sz="4" w:space="0"/>
            </w:tcBorders>
            <w:noWrap w:val="0"/>
            <w:vAlign w:val="center"/>
          </w:tcPr>
          <w:p w14:paraId="67A91216">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19</w:t>
            </w:r>
          </w:p>
        </w:tc>
        <w:tc>
          <w:tcPr>
            <w:tcW w:w="1789" w:type="dxa"/>
            <w:tcBorders>
              <w:top w:val="single" w:color="auto" w:sz="6" w:space="0"/>
              <w:left w:val="single" w:color="auto" w:sz="4" w:space="0"/>
              <w:bottom w:val="single" w:color="auto" w:sz="6" w:space="0"/>
              <w:right w:val="single" w:color="auto" w:sz="6" w:space="0"/>
            </w:tcBorders>
            <w:noWrap w:val="0"/>
            <w:vAlign w:val="top"/>
          </w:tcPr>
          <w:p w14:paraId="606099A2">
            <w:pPr>
              <w:pStyle w:val="9"/>
              <w:spacing w:line="300" w:lineRule="auto"/>
              <w:ind w:firstLine="105" w:firstLineChars="50"/>
              <w:rPr>
                <w:b/>
                <w:sz w:val="21"/>
                <w:szCs w:val="21"/>
                <w:highlight w:val="none"/>
              </w:rPr>
            </w:pPr>
          </w:p>
          <w:p w14:paraId="4EF0BE01">
            <w:pPr>
              <w:pStyle w:val="9"/>
              <w:spacing w:line="300" w:lineRule="auto"/>
              <w:ind w:firstLine="105" w:firstLineChars="50"/>
              <w:rPr>
                <w:b/>
                <w:sz w:val="21"/>
                <w:szCs w:val="21"/>
                <w:highlight w:val="none"/>
              </w:rPr>
            </w:pPr>
          </w:p>
          <w:p w14:paraId="7EFD7DB5">
            <w:pPr>
              <w:pStyle w:val="9"/>
              <w:spacing w:before="5" w:line="300" w:lineRule="auto"/>
              <w:ind w:firstLine="105" w:firstLineChars="50"/>
              <w:rPr>
                <w:b/>
                <w:sz w:val="21"/>
                <w:szCs w:val="21"/>
                <w:highlight w:val="none"/>
              </w:rPr>
            </w:pPr>
          </w:p>
          <w:p w14:paraId="237F883C">
            <w:pPr>
              <w:pStyle w:val="9"/>
              <w:spacing w:line="300" w:lineRule="auto"/>
              <w:ind w:left="106" w:firstLine="105" w:firstLineChars="50"/>
              <w:rPr>
                <w:rFonts w:hint="eastAsia" w:cs="宋体"/>
                <w:sz w:val="21"/>
                <w:szCs w:val="21"/>
                <w:highlight w:val="none"/>
                <w:lang w:val="zh-CN"/>
              </w:rPr>
            </w:pPr>
          </w:p>
          <w:p w14:paraId="39D850C6">
            <w:pPr>
              <w:pStyle w:val="9"/>
              <w:spacing w:line="300" w:lineRule="auto"/>
              <w:ind w:left="106" w:firstLine="105" w:firstLineChars="50"/>
              <w:rPr>
                <w:rFonts w:hint="eastAsia" w:cs="宋体"/>
                <w:sz w:val="21"/>
                <w:szCs w:val="21"/>
                <w:highlight w:val="none"/>
                <w:lang w:val="zh-CN"/>
              </w:rPr>
            </w:pPr>
          </w:p>
          <w:p w14:paraId="76610808">
            <w:pPr>
              <w:pStyle w:val="9"/>
              <w:spacing w:line="300" w:lineRule="auto"/>
              <w:ind w:left="106" w:firstLine="105" w:firstLineChars="50"/>
              <w:rPr>
                <w:rFonts w:hint="eastAsia" w:cs="宋体"/>
                <w:sz w:val="21"/>
                <w:szCs w:val="21"/>
                <w:highlight w:val="none"/>
                <w:lang w:val="zh-CN"/>
              </w:rPr>
            </w:pPr>
          </w:p>
          <w:p w14:paraId="2FDA5926">
            <w:pPr>
              <w:pStyle w:val="9"/>
              <w:spacing w:line="300" w:lineRule="auto"/>
              <w:ind w:left="106" w:firstLine="105" w:firstLineChars="50"/>
              <w:rPr>
                <w:rFonts w:hint="eastAsia" w:cs="宋体"/>
                <w:sz w:val="21"/>
                <w:szCs w:val="21"/>
                <w:highlight w:val="none"/>
                <w:lang w:val="zh-CN"/>
              </w:rPr>
            </w:pPr>
          </w:p>
          <w:p w14:paraId="2F3D1A01">
            <w:pPr>
              <w:pStyle w:val="9"/>
              <w:spacing w:line="300" w:lineRule="auto"/>
              <w:ind w:left="106" w:firstLine="105" w:firstLineChars="50"/>
              <w:rPr>
                <w:rFonts w:hint="eastAsia" w:cs="宋体"/>
                <w:sz w:val="21"/>
                <w:szCs w:val="21"/>
                <w:highlight w:val="none"/>
                <w:lang w:val="zh-CN"/>
              </w:rPr>
            </w:pPr>
          </w:p>
          <w:p w14:paraId="46EFFBA2">
            <w:pPr>
              <w:pStyle w:val="9"/>
              <w:spacing w:line="300" w:lineRule="auto"/>
              <w:ind w:left="106" w:firstLine="105" w:firstLineChars="50"/>
              <w:rPr>
                <w:rFonts w:hint="eastAsia" w:cs="宋体"/>
                <w:sz w:val="21"/>
                <w:szCs w:val="21"/>
                <w:highlight w:val="none"/>
                <w:lang w:val="zh-CN"/>
              </w:rPr>
            </w:pPr>
          </w:p>
          <w:p w14:paraId="3CA94623">
            <w:pPr>
              <w:pStyle w:val="9"/>
              <w:spacing w:line="300" w:lineRule="auto"/>
              <w:ind w:left="106" w:firstLine="105" w:firstLineChars="50"/>
              <w:rPr>
                <w:rFonts w:hint="eastAsia" w:cs="宋体"/>
                <w:sz w:val="21"/>
                <w:szCs w:val="21"/>
                <w:highlight w:val="none"/>
                <w:lang w:val="zh-CN"/>
              </w:rPr>
            </w:pPr>
          </w:p>
          <w:p w14:paraId="0AD51820">
            <w:pPr>
              <w:pStyle w:val="9"/>
              <w:spacing w:line="300" w:lineRule="auto"/>
              <w:ind w:left="106" w:firstLine="105" w:firstLineChars="50"/>
              <w:rPr>
                <w:rFonts w:hint="eastAsia" w:cs="宋体"/>
                <w:sz w:val="21"/>
                <w:szCs w:val="21"/>
                <w:highlight w:val="none"/>
                <w:lang w:val="zh-CN"/>
              </w:rPr>
            </w:pPr>
          </w:p>
          <w:p w14:paraId="6116F19E">
            <w:pPr>
              <w:pStyle w:val="9"/>
              <w:spacing w:line="300" w:lineRule="auto"/>
              <w:ind w:left="106" w:firstLine="105" w:firstLineChars="50"/>
              <w:rPr>
                <w:rFonts w:hint="eastAsia" w:cs="宋体"/>
                <w:sz w:val="21"/>
                <w:szCs w:val="21"/>
                <w:highlight w:val="none"/>
                <w:lang w:val="zh-CN"/>
              </w:rPr>
            </w:pPr>
          </w:p>
          <w:p w14:paraId="131C3F6C">
            <w:pPr>
              <w:pStyle w:val="9"/>
              <w:spacing w:line="300" w:lineRule="auto"/>
              <w:ind w:left="106" w:firstLine="105" w:firstLineChars="50"/>
              <w:rPr>
                <w:rFonts w:hint="eastAsia" w:cs="宋体"/>
                <w:sz w:val="21"/>
                <w:szCs w:val="21"/>
                <w:highlight w:val="none"/>
                <w:lang w:val="zh-CN"/>
              </w:rPr>
            </w:pPr>
          </w:p>
          <w:p w14:paraId="0093ECD6">
            <w:pPr>
              <w:pStyle w:val="9"/>
              <w:spacing w:line="300" w:lineRule="auto"/>
              <w:ind w:left="106" w:firstLine="105" w:firstLineChars="50"/>
              <w:rPr>
                <w:rFonts w:hint="eastAsia" w:cs="宋体"/>
                <w:sz w:val="21"/>
                <w:szCs w:val="21"/>
                <w:highlight w:val="none"/>
                <w:lang w:val="zh-CN"/>
              </w:rPr>
            </w:pPr>
          </w:p>
          <w:p w14:paraId="283A3AF6">
            <w:pPr>
              <w:pStyle w:val="9"/>
              <w:spacing w:line="300" w:lineRule="auto"/>
              <w:ind w:left="106" w:firstLine="105" w:firstLineChars="50"/>
              <w:rPr>
                <w:rFonts w:hint="eastAsia" w:cs="宋体"/>
                <w:sz w:val="21"/>
                <w:szCs w:val="21"/>
                <w:highlight w:val="none"/>
                <w:lang w:val="zh-CN"/>
              </w:rPr>
            </w:pPr>
          </w:p>
          <w:p w14:paraId="7FFD3C8C">
            <w:pPr>
              <w:pStyle w:val="9"/>
              <w:spacing w:line="300" w:lineRule="auto"/>
              <w:ind w:left="106" w:firstLine="105" w:firstLineChars="50"/>
              <w:rPr>
                <w:rFonts w:hint="eastAsia" w:cs="宋体"/>
                <w:sz w:val="21"/>
                <w:szCs w:val="21"/>
                <w:highlight w:val="none"/>
                <w:lang w:val="zh-CN"/>
              </w:rPr>
            </w:pPr>
          </w:p>
          <w:p w14:paraId="613C2D84">
            <w:pPr>
              <w:pStyle w:val="9"/>
              <w:spacing w:line="300" w:lineRule="auto"/>
              <w:ind w:left="106" w:firstLine="105" w:firstLineChars="50"/>
              <w:rPr>
                <w:rFonts w:hint="eastAsia" w:cs="宋体"/>
                <w:sz w:val="21"/>
                <w:szCs w:val="21"/>
                <w:highlight w:val="none"/>
                <w:lang w:val="zh-CN"/>
              </w:rPr>
            </w:pPr>
          </w:p>
          <w:p w14:paraId="0DDF9D3A">
            <w:pPr>
              <w:pStyle w:val="9"/>
              <w:spacing w:line="300" w:lineRule="auto"/>
              <w:ind w:left="106" w:firstLine="105" w:firstLineChars="50"/>
              <w:rPr>
                <w:rFonts w:hint="eastAsia" w:cs="宋体"/>
                <w:sz w:val="21"/>
                <w:szCs w:val="21"/>
                <w:highlight w:val="none"/>
                <w:lang w:val="zh-CN"/>
              </w:rPr>
            </w:pPr>
          </w:p>
          <w:p w14:paraId="2051AB4E">
            <w:pPr>
              <w:pStyle w:val="9"/>
              <w:spacing w:line="300" w:lineRule="auto"/>
              <w:ind w:left="106" w:firstLine="105" w:firstLineChars="50"/>
              <w:rPr>
                <w:rFonts w:hint="eastAsia" w:cs="宋体"/>
                <w:sz w:val="21"/>
                <w:szCs w:val="21"/>
                <w:highlight w:val="none"/>
                <w:lang w:val="zh-CN"/>
              </w:rPr>
            </w:pPr>
          </w:p>
          <w:p w14:paraId="043E9D05">
            <w:pPr>
              <w:pStyle w:val="9"/>
              <w:spacing w:line="300" w:lineRule="auto"/>
              <w:ind w:left="106" w:firstLine="105" w:firstLineChars="50"/>
              <w:rPr>
                <w:rFonts w:cs="宋体"/>
                <w:sz w:val="21"/>
                <w:szCs w:val="21"/>
                <w:highlight w:val="none"/>
                <w:lang w:val="zh-CN"/>
              </w:rPr>
            </w:pPr>
            <w:r>
              <w:rPr>
                <w:rFonts w:hint="eastAsia" w:cs="宋体"/>
                <w:sz w:val="21"/>
                <w:szCs w:val="21"/>
                <w:highlight w:val="none"/>
                <w:lang w:val="zh-CN"/>
              </w:rPr>
              <w:t>开标</w:t>
            </w:r>
          </w:p>
        </w:tc>
        <w:tc>
          <w:tcPr>
            <w:tcW w:w="5797" w:type="dxa"/>
            <w:tcBorders>
              <w:top w:val="single" w:color="auto" w:sz="6" w:space="0"/>
              <w:left w:val="single" w:color="auto" w:sz="6" w:space="0"/>
              <w:bottom w:val="single" w:color="auto" w:sz="6" w:space="0"/>
              <w:right w:val="single" w:color="auto" w:sz="12" w:space="0"/>
            </w:tcBorders>
            <w:noWrap w:val="0"/>
            <w:vAlign w:val="top"/>
          </w:tcPr>
          <w:p w14:paraId="1AC16E18">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投标人在开标规定时间前半小时进入“腾讯会议”会议室， 并将称呼改为“XX 公司+姓名”后参与本次视频开标。代理机构在开标前 15 分钟，组建本次开标会微信群，每家投标人的法人授权委托代表“公司名称+姓名”实名进入。具体流程如下：</w:t>
            </w:r>
          </w:p>
          <w:p w14:paraId="06FDD5BF">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1.将开标倒计时投屏至会议界面。</w:t>
            </w:r>
          </w:p>
          <w:p w14:paraId="008A78FC">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2.宣布本次开标会开始，强调会议纪律及要求。除主持人和联合主持人会议麦克风打开外，其他参会人员麦克风保持静音，需发言时自行打开。</w:t>
            </w:r>
          </w:p>
          <w:p w14:paraId="7BB9DD47">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3.下载投标文件。根据投邮箱中邮件递交时间顺序，依次下载投标人投标文件。下载过程全程投屏至会议界面。在此过程中，投标人代表应对下载其投标文件的数量通过微信群确认并告之解密密码。代理机构在本地电脑上新建该项目投标文件夹，再在这个文件夹内建立每家投标人子文件夹，将投标文件下载至此，将投标人代表告之的解密密码标注在对应的文件名上。</w:t>
            </w:r>
          </w:p>
          <w:p w14:paraId="630AC810">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4.验证投标人身份。代理机构按顺序逐个打开投标人投标文件，将投标人法人授权委托书页投屏至会议界面，同时对应的投标人代表打开摄像头，左手持本人身份证至头部的左下方，代理机构截屏保存。如无异议，逐个确认及截屏。</w:t>
            </w:r>
          </w:p>
          <w:p w14:paraId="5C5F0F76">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5.唱标。代理机构按顺序逐个打开投标人投标文件，将其投标文件中的报价页投屏至会议界面并唱标，投标人代表应在微信群中确认投屏的报价无误。如无异议，逐个唱标。</w:t>
            </w:r>
          </w:p>
          <w:p w14:paraId="31C7ED45">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6.代理机构再次询问各投标人代表，对此次开标会有无异议。如无异议，书面手写开标确认书，附授权委托人身份证原件拍照上传至本次开标会微信群。</w:t>
            </w:r>
          </w:p>
          <w:p w14:paraId="2513CB83">
            <w:pPr>
              <w:pStyle w:val="6"/>
              <w:widowControl w:val="0"/>
              <w:autoSpaceDE w:val="0"/>
              <w:autoSpaceDN w:val="0"/>
              <w:adjustRightInd w:val="0"/>
              <w:spacing w:before="0" w:beforeAutospacing="0" w:after="0" w:afterAutospacing="0" w:line="300" w:lineRule="auto"/>
              <w:ind w:firstLine="105" w:firstLineChars="50"/>
              <w:rPr>
                <w:rFonts w:cs="宋体"/>
                <w:sz w:val="21"/>
                <w:szCs w:val="21"/>
                <w:highlight w:val="none"/>
              </w:rPr>
            </w:pPr>
            <w:r>
              <w:rPr>
                <w:rFonts w:hint="eastAsia" w:cs="宋体"/>
                <w:kern w:val="2"/>
                <w:sz w:val="21"/>
                <w:szCs w:val="21"/>
                <w:highlight w:val="none"/>
                <w:lang w:val="en-US" w:eastAsia="zh-CN"/>
              </w:rPr>
              <w:t>7</w:t>
            </w:r>
            <w:r>
              <w:rPr>
                <w:rFonts w:cs="宋体"/>
                <w:kern w:val="2"/>
                <w:sz w:val="21"/>
                <w:szCs w:val="21"/>
                <w:highlight w:val="none"/>
                <w:lang w:val="zh-CN"/>
              </w:rPr>
              <w:t>、宣布开标结束，进入评标程序。</w:t>
            </w:r>
          </w:p>
        </w:tc>
      </w:tr>
      <w:tr w14:paraId="0797E4AA">
        <w:tblPrEx>
          <w:tblCellMar>
            <w:top w:w="0" w:type="dxa"/>
            <w:left w:w="0" w:type="dxa"/>
            <w:bottom w:w="0" w:type="dxa"/>
            <w:right w:w="0" w:type="dxa"/>
          </w:tblCellMar>
        </w:tblPrEx>
        <w:trPr>
          <w:trHeight w:val="713" w:hRule="atLeast"/>
          <w:jc w:val="center"/>
        </w:trPr>
        <w:tc>
          <w:tcPr>
            <w:tcW w:w="1182" w:type="dxa"/>
            <w:tcBorders>
              <w:top w:val="single" w:color="auto" w:sz="6" w:space="0"/>
              <w:left w:val="single" w:color="auto" w:sz="12" w:space="0"/>
              <w:bottom w:val="single" w:color="auto" w:sz="6" w:space="0"/>
              <w:right w:val="single" w:color="auto" w:sz="4" w:space="0"/>
            </w:tcBorders>
            <w:noWrap w:val="0"/>
            <w:vAlign w:val="center"/>
          </w:tcPr>
          <w:p w14:paraId="415DD89E">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20</w:t>
            </w:r>
          </w:p>
        </w:tc>
        <w:tc>
          <w:tcPr>
            <w:tcW w:w="1789" w:type="dxa"/>
            <w:tcBorders>
              <w:top w:val="single" w:color="auto" w:sz="6" w:space="0"/>
              <w:left w:val="single" w:color="auto" w:sz="4" w:space="0"/>
              <w:bottom w:val="single" w:color="auto" w:sz="6" w:space="0"/>
              <w:right w:val="single" w:color="auto" w:sz="6" w:space="0"/>
            </w:tcBorders>
            <w:noWrap w:val="0"/>
            <w:vAlign w:val="center"/>
          </w:tcPr>
          <w:p w14:paraId="3DFDACCF">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评标委员会的组成</w:t>
            </w:r>
          </w:p>
        </w:tc>
        <w:tc>
          <w:tcPr>
            <w:tcW w:w="5797" w:type="dxa"/>
            <w:tcBorders>
              <w:top w:val="single" w:color="auto" w:sz="6" w:space="0"/>
              <w:left w:val="single" w:color="auto" w:sz="6" w:space="0"/>
              <w:bottom w:val="single" w:color="auto" w:sz="6" w:space="0"/>
              <w:right w:val="single" w:color="auto" w:sz="12" w:space="0"/>
            </w:tcBorders>
            <w:noWrap w:val="0"/>
            <w:vAlign w:val="center"/>
          </w:tcPr>
          <w:p w14:paraId="41DA3ED1">
            <w:pPr>
              <w:autoSpaceDE w:val="0"/>
              <w:autoSpaceDN w:val="0"/>
              <w:adjustRightInd w:val="0"/>
              <w:spacing w:line="300" w:lineRule="auto"/>
              <w:ind w:firstLine="105" w:firstLineChars="50"/>
              <w:rPr>
                <w:rFonts w:hint="eastAsia" w:cs="宋体"/>
                <w:sz w:val="21"/>
                <w:szCs w:val="21"/>
                <w:highlight w:val="none"/>
                <w:lang w:val="zh-CN"/>
              </w:rPr>
            </w:pPr>
            <w:r>
              <w:rPr>
                <w:rFonts w:hint="eastAsia" w:cs="宋体"/>
                <w:sz w:val="21"/>
                <w:szCs w:val="21"/>
                <w:highlight w:val="none"/>
                <w:lang w:val="zh-CN"/>
              </w:rPr>
              <w:t>评标委员会由有关技术、经济专家等</w:t>
            </w:r>
            <w:r>
              <w:rPr>
                <w:rFonts w:hint="eastAsia" w:cs="宋体"/>
                <w:sz w:val="21"/>
                <w:szCs w:val="21"/>
                <w:highlight w:val="none"/>
              </w:rPr>
              <w:t>3</w:t>
            </w:r>
            <w:r>
              <w:rPr>
                <w:rFonts w:hint="eastAsia" w:cs="宋体"/>
                <w:sz w:val="21"/>
                <w:szCs w:val="21"/>
                <w:highlight w:val="none"/>
                <w:lang w:val="zh-CN"/>
              </w:rPr>
              <w:t>人以上单数组成。</w:t>
            </w:r>
          </w:p>
        </w:tc>
      </w:tr>
      <w:tr w14:paraId="411B6250">
        <w:tblPrEx>
          <w:tblCellMar>
            <w:top w:w="0" w:type="dxa"/>
            <w:left w:w="0" w:type="dxa"/>
            <w:bottom w:w="0" w:type="dxa"/>
            <w:right w:w="0" w:type="dxa"/>
          </w:tblCellMar>
        </w:tblPrEx>
        <w:trPr>
          <w:trHeight w:val="154" w:hRule="atLeast"/>
          <w:jc w:val="center"/>
        </w:trPr>
        <w:tc>
          <w:tcPr>
            <w:tcW w:w="1182" w:type="dxa"/>
            <w:tcBorders>
              <w:top w:val="single" w:color="auto" w:sz="6" w:space="0"/>
              <w:left w:val="single" w:color="auto" w:sz="12" w:space="0"/>
              <w:bottom w:val="single" w:color="auto" w:sz="6" w:space="0"/>
              <w:right w:val="single" w:color="auto" w:sz="4" w:space="0"/>
            </w:tcBorders>
            <w:noWrap w:val="0"/>
            <w:vAlign w:val="center"/>
          </w:tcPr>
          <w:p w14:paraId="22284D3E">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21</w:t>
            </w:r>
          </w:p>
        </w:tc>
        <w:tc>
          <w:tcPr>
            <w:tcW w:w="1789" w:type="dxa"/>
            <w:tcBorders>
              <w:top w:val="single" w:color="auto" w:sz="6" w:space="0"/>
              <w:left w:val="single" w:color="auto" w:sz="4" w:space="0"/>
              <w:bottom w:val="single" w:color="auto" w:sz="6" w:space="0"/>
              <w:right w:val="single" w:color="auto" w:sz="6" w:space="0"/>
            </w:tcBorders>
            <w:noWrap w:val="0"/>
            <w:vAlign w:val="center"/>
          </w:tcPr>
          <w:p w14:paraId="782340B7">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cs="宋体"/>
                <w:kern w:val="2"/>
                <w:sz w:val="21"/>
                <w:szCs w:val="21"/>
                <w:highlight w:val="none"/>
                <w:lang w:val="zh-CN"/>
              </w:rPr>
              <w:t>评标办法</w:t>
            </w:r>
          </w:p>
        </w:tc>
        <w:tc>
          <w:tcPr>
            <w:tcW w:w="5797" w:type="dxa"/>
            <w:tcBorders>
              <w:top w:val="single" w:color="auto" w:sz="6" w:space="0"/>
              <w:left w:val="single" w:color="auto" w:sz="6" w:space="0"/>
              <w:bottom w:val="single" w:color="auto" w:sz="6" w:space="0"/>
              <w:right w:val="single" w:color="auto" w:sz="12" w:space="0"/>
            </w:tcBorders>
            <w:noWrap w:val="0"/>
            <w:vAlign w:val="center"/>
          </w:tcPr>
          <w:p w14:paraId="1B5B48EE">
            <w:pPr>
              <w:autoSpaceDE w:val="0"/>
              <w:autoSpaceDN w:val="0"/>
              <w:adjustRightInd w:val="0"/>
              <w:spacing w:before="72" w:beforeLines="30" w:after="72" w:afterLines="30" w:line="300" w:lineRule="auto"/>
              <w:ind w:firstLine="105" w:firstLineChars="50"/>
              <w:rPr>
                <w:rFonts w:hint="eastAsia" w:cs="宋体"/>
                <w:snapToGrid w:val="0"/>
                <w:kern w:val="0"/>
                <w:sz w:val="21"/>
                <w:szCs w:val="21"/>
                <w:highlight w:val="none"/>
                <w:lang w:val="zh-CN"/>
              </w:rPr>
            </w:pPr>
            <w:r>
              <w:rPr>
                <w:rFonts w:hint="eastAsia" w:cs="宋体"/>
                <w:snapToGrid w:val="0"/>
                <w:kern w:val="0"/>
                <w:sz w:val="21"/>
                <w:szCs w:val="21"/>
                <w:highlight w:val="none"/>
                <w:lang w:val="zh-CN"/>
              </w:rPr>
              <w:t>综合评估法</w:t>
            </w:r>
          </w:p>
        </w:tc>
      </w:tr>
      <w:tr w14:paraId="2A58B476">
        <w:tblPrEx>
          <w:tblCellMar>
            <w:top w:w="0" w:type="dxa"/>
            <w:left w:w="0" w:type="dxa"/>
            <w:bottom w:w="0" w:type="dxa"/>
            <w:right w:w="0" w:type="dxa"/>
          </w:tblCellMar>
        </w:tblPrEx>
        <w:trPr>
          <w:trHeight w:val="154" w:hRule="atLeast"/>
          <w:jc w:val="center"/>
        </w:trPr>
        <w:tc>
          <w:tcPr>
            <w:tcW w:w="1182" w:type="dxa"/>
            <w:tcBorders>
              <w:top w:val="single" w:color="auto" w:sz="6" w:space="0"/>
              <w:left w:val="single" w:color="auto" w:sz="12" w:space="0"/>
              <w:bottom w:val="single" w:color="auto" w:sz="6" w:space="0"/>
              <w:right w:val="single" w:color="auto" w:sz="4" w:space="0"/>
            </w:tcBorders>
            <w:noWrap w:val="0"/>
            <w:vAlign w:val="center"/>
          </w:tcPr>
          <w:p w14:paraId="2D56AAAF">
            <w:pPr>
              <w:pStyle w:val="6"/>
              <w:widowControl w:val="0"/>
              <w:autoSpaceDE w:val="0"/>
              <w:autoSpaceDN w:val="0"/>
              <w:adjustRightInd w:val="0"/>
              <w:spacing w:before="0" w:beforeAutospacing="0" w:after="0" w:afterAutospacing="0" w:line="300" w:lineRule="auto"/>
              <w:ind w:firstLine="0" w:firstLineChars="0"/>
              <w:jc w:val="center"/>
              <w:rPr>
                <w:rFonts w:hint="default" w:cs="宋体"/>
                <w:kern w:val="2"/>
                <w:sz w:val="21"/>
                <w:szCs w:val="21"/>
                <w:highlight w:val="none"/>
              </w:rPr>
            </w:pPr>
            <w:r>
              <w:rPr>
                <w:rFonts w:cs="宋体"/>
                <w:kern w:val="2"/>
                <w:sz w:val="21"/>
                <w:szCs w:val="21"/>
                <w:highlight w:val="none"/>
              </w:rPr>
              <w:t>22</w:t>
            </w:r>
          </w:p>
        </w:tc>
        <w:tc>
          <w:tcPr>
            <w:tcW w:w="1789" w:type="dxa"/>
            <w:tcBorders>
              <w:top w:val="single" w:color="auto" w:sz="6" w:space="0"/>
              <w:left w:val="single" w:color="auto" w:sz="4" w:space="0"/>
              <w:bottom w:val="single" w:color="auto" w:sz="6" w:space="0"/>
              <w:right w:val="single" w:color="auto" w:sz="6" w:space="0"/>
            </w:tcBorders>
            <w:noWrap w:val="0"/>
            <w:vAlign w:val="center"/>
          </w:tcPr>
          <w:p w14:paraId="78622E47">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hint="eastAsia" w:cs="宋体"/>
                <w:kern w:val="2"/>
                <w:sz w:val="21"/>
                <w:szCs w:val="21"/>
                <w:highlight w:val="none"/>
                <w:lang w:val="en-US" w:eastAsia="zh-CN"/>
              </w:rPr>
              <w:t>报名费、预算编制费</w:t>
            </w:r>
            <w:r>
              <w:rPr>
                <w:rFonts w:hint="eastAsia" w:cs="宋体"/>
                <w:kern w:val="2"/>
                <w:sz w:val="21"/>
                <w:szCs w:val="21"/>
                <w:highlight w:val="none"/>
                <w:lang w:val="zh-CN"/>
              </w:rPr>
              <w:t>、</w:t>
            </w:r>
            <w:r>
              <w:rPr>
                <w:rFonts w:cs="宋体"/>
                <w:kern w:val="2"/>
                <w:sz w:val="21"/>
                <w:szCs w:val="21"/>
                <w:highlight w:val="none"/>
                <w:lang w:val="zh-CN"/>
              </w:rPr>
              <w:t>招标代理服务费</w:t>
            </w:r>
          </w:p>
        </w:tc>
        <w:tc>
          <w:tcPr>
            <w:tcW w:w="5797" w:type="dxa"/>
            <w:tcBorders>
              <w:top w:val="single" w:color="auto" w:sz="6" w:space="0"/>
              <w:left w:val="single" w:color="auto" w:sz="6" w:space="0"/>
              <w:bottom w:val="single" w:color="auto" w:sz="6" w:space="0"/>
              <w:right w:val="single" w:color="auto" w:sz="12" w:space="0"/>
            </w:tcBorders>
            <w:noWrap w:val="0"/>
            <w:vAlign w:val="center"/>
          </w:tcPr>
          <w:p w14:paraId="7F9A6BD5">
            <w:pPr>
              <w:pStyle w:val="6"/>
              <w:widowControl w:val="0"/>
              <w:autoSpaceDE w:val="0"/>
              <w:autoSpaceDN w:val="0"/>
              <w:adjustRightInd w:val="0"/>
              <w:spacing w:before="0" w:beforeAutospacing="0" w:after="0" w:afterAutospacing="0" w:line="300" w:lineRule="auto"/>
              <w:ind w:firstLine="105" w:firstLineChars="50"/>
              <w:rPr>
                <w:rFonts w:hint="eastAsia" w:cs="宋体"/>
                <w:kern w:val="2"/>
                <w:sz w:val="21"/>
                <w:szCs w:val="21"/>
                <w:highlight w:val="none"/>
                <w:lang w:val="zh-CN"/>
              </w:rPr>
            </w:pPr>
            <w:r>
              <w:rPr>
                <w:rFonts w:hint="eastAsia" w:cs="宋体"/>
                <w:kern w:val="2"/>
                <w:sz w:val="21"/>
                <w:szCs w:val="21"/>
                <w:highlight w:val="none"/>
                <w:lang w:val="zh-CN"/>
              </w:rPr>
              <w:t>1.本项目预算</w:t>
            </w:r>
            <w:r>
              <w:rPr>
                <w:rFonts w:hint="eastAsia" w:cs="宋体"/>
                <w:kern w:val="2"/>
                <w:sz w:val="21"/>
                <w:szCs w:val="21"/>
                <w:highlight w:val="none"/>
                <w:lang w:val="en-US" w:eastAsia="zh-CN"/>
              </w:rPr>
              <w:t>审核</w:t>
            </w:r>
            <w:r>
              <w:rPr>
                <w:rFonts w:hint="eastAsia" w:cs="宋体"/>
                <w:kern w:val="2"/>
                <w:sz w:val="21"/>
                <w:szCs w:val="21"/>
                <w:highlight w:val="none"/>
                <w:lang w:val="zh-CN"/>
              </w:rPr>
              <w:t>费按</w:t>
            </w:r>
            <w:r>
              <w:rPr>
                <w:rFonts w:hint="eastAsia" w:cs="宋体"/>
                <w:kern w:val="2"/>
                <w:sz w:val="21"/>
                <w:szCs w:val="21"/>
                <w:highlight w:val="none"/>
                <w:lang w:val="en-US" w:eastAsia="zh-CN"/>
              </w:rPr>
              <w:t>3000</w:t>
            </w:r>
            <w:r>
              <w:rPr>
                <w:rFonts w:hint="eastAsia" w:cs="宋体"/>
                <w:kern w:val="2"/>
                <w:sz w:val="21"/>
                <w:szCs w:val="21"/>
                <w:highlight w:val="none"/>
                <w:lang w:val="zh-CN"/>
              </w:rPr>
              <w:t>元、招标代理费按4000元包干计取，</w:t>
            </w:r>
            <w:r>
              <w:rPr>
                <w:rFonts w:hint="eastAsia" w:cs="宋体"/>
                <w:kern w:val="2"/>
                <w:sz w:val="21"/>
                <w:szCs w:val="21"/>
                <w:highlight w:val="none"/>
                <w:lang w:val="en-US" w:eastAsia="zh-CN"/>
              </w:rPr>
              <w:t>共计7000元，</w:t>
            </w:r>
            <w:r>
              <w:rPr>
                <w:rFonts w:hint="eastAsia" w:cs="宋体"/>
                <w:kern w:val="2"/>
                <w:sz w:val="21"/>
                <w:szCs w:val="21"/>
                <w:highlight w:val="none"/>
                <w:lang w:val="zh-CN"/>
              </w:rPr>
              <w:t>由中标人在领取中标通知之日向招标代理机构一次付清。</w:t>
            </w:r>
          </w:p>
          <w:p w14:paraId="18A7EE0A">
            <w:pPr>
              <w:pStyle w:val="6"/>
              <w:widowControl w:val="0"/>
              <w:autoSpaceDE w:val="0"/>
              <w:autoSpaceDN w:val="0"/>
              <w:adjustRightInd w:val="0"/>
              <w:spacing w:before="0" w:beforeAutospacing="0" w:after="0" w:afterAutospacing="0" w:line="300" w:lineRule="auto"/>
              <w:ind w:firstLine="105" w:firstLineChars="50"/>
              <w:rPr>
                <w:rFonts w:hint="eastAsia" w:cs="宋体"/>
                <w:kern w:val="2"/>
                <w:sz w:val="21"/>
                <w:szCs w:val="21"/>
                <w:highlight w:val="none"/>
                <w:lang w:val="zh-CN"/>
              </w:rPr>
            </w:pPr>
            <w:r>
              <w:rPr>
                <w:rFonts w:hint="eastAsia" w:cs="宋体"/>
                <w:kern w:val="2"/>
                <w:sz w:val="21"/>
                <w:szCs w:val="21"/>
                <w:highlight w:val="none"/>
                <w:lang w:val="zh-CN"/>
              </w:rPr>
              <w:t>2.本次招标文件资料费300元，开标前缴纳，否则招标人有权拒绝接受其投标文件。</w:t>
            </w:r>
          </w:p>
          <w:p w14:paraId="3A01589C">
            <w:pPr>
              <w:pStyle w:val="6"/>
              <w:widowControl w:val="0"/>
              <w:autoSpaceDE w:val="0"/>
              <w:autoSpaceDN w:val="0"/>
              <w:adjustRightInd w:val="0"/>
              <w:spacing w:before="0" w:beforeAutospacing="0" w:after="0" w:afterAutospacing="0" w:line="300" w:lineRule="auto"/>
              <w:ind w:firstLine="105" w:firstLineChars="50"/>
              <w:rPr>
                <w:rFonts w:hint="eastAsia" w:cs="宋体"/>
                <w:kern w:val="2"/>
                <w:sz w:val="21"/>
                <w:szCs w:val="21"/>
                <w:highlight w:val="none"/>
                <w:lang w:val="zh-CN"/>
              </w:rPr>
            </w:pPr>
            <w:r>
              <w:rPr>
                <w:rFonts w:hint="eastAsia" w:cs="宋体"/>
                <w:kern w:val="2"/>
                <w:sz w:val="21"/>
                <w:szCs w:val="21"/>
                <w:highlight w:val="none"/>
                <w:lang w:val="zh-CN"/>
              </w:rPr>
              <w:t>户名：黄石城发工程咨询有限公司</w:t>
            </w:r>
          </w:p>
          <w:p w14:paraId="4D456F40">
            <w:pPr>
              <w:pStyle w:val="6"/>
              <w:widowControl w:val="0"/>
              <w:autoSpaceDE w:val="0"/>
              <w:autoSpaceDN w:val="0"/>
              <w:adjustRightInd w:val="0"/>
              <w:spacing w:before="0" w:beforeAutospacing="0" w:after="0" w:afterAutospacing="0" w:line="300" w:lineRule="auto"/>
              <w:ind w:firstLine="105" w:firstLineChars="50"/>
              <w:rPr>
                <w:rFonts w:hint="eastAsia" w:cs="宋体"/>
                <w:kern w:val="2"/>
                <w:sz w:val="21"/>
                <w:szCs w:val="21"/>
                <w:highlight w:val="none"/>
                <w:lang w:val="zh-CN"/>
              </w:rPr>
            </w:pPr>
            <w:r>
              <w:rPr>
                <w:rFonts w:hint="eastAsia" w:cs="宋体"/>
                <w:kern w:val="2"/>
                <w:sz w:val="21"/>
                <w:szCs w:val="21"/>
                <w:highlight w:val="none"/>
                <w:lang w:val="zh-CN"/>
              </w:rPr>
              <w:t>帐号：714903123910101</w:t>
            </w:r>
          </w:p>
          <w:p w14:paraId="5D224BFF">
            <w:pPr>
              <w:pStyle w:val="6"/>
              <w:widowControl w:val="0"/>
              <w:autoSpaceDE w:val="0"/>
              <w:autoSpaceDN w:val="0"/>
              <w:adjustRightInd w:val="0"/>
              <w:spacing w:before="0" w:beforeAutospacing="0" w:after="0" w:afterAutospacing="0" w:line="300" w:lineRule="auto"/>
              <w:ind w:firstLine="105" w:firstLineChars="50"/>
              <w:rPr>
                <w:rFonts w:cs="宋体"/>
                <w:kern w:val="2"/>
                <w:sz w:val="21"/>
                <w:szCs w:val="21"/>
                <w:highlight w:val="none"/>
                <w:lang w:val="zh-CN"/>
              </w:rPr>
            </w:pPr>
            <w:r>
              <w:rPr>
                <w:rFonts w:hint="eastAsia" w:cs="宋体"/>
                <w:kern w:val="2"/>
                <w:sz w:val="21"/>
                <w:szCs w:val="21"/>
                <w:highlight w:val="none"/>
                <w:lang w:val="zh-CN"/>
              </w:rPr>
              <w:t>开户行：招商银行股份有限公司黄石分行营业部</w:t>
            </w:r>
          </w:p>
        </w:tc>
      </w:tr>
    </w:tbl>
    <w:p w14:paraId="76A83FEF">
      <w:pPr>
        <w:ind w:firstLine="480"/>
        <w:rPr>
          <w:rFonts w:hint="eastAsia" w:cs="宋体"/>
          <w:szCs w:val="24"/>
          <w:highlight w:val="none"/>
        </w:rPr>
      </w:pPr>
    </w:p>
    <w:p w14:paraId="71209FCC">
      <w:pPr>
        <w:widowControl w:val="0"/>
        <w:numPr>
          <w:ilvl w:val="0"/>
          <w:numId w:val="2"/>
        </w:numPr>
        <w:autoSpaceDE w:val="0"/>
        <w:autoSpaceDN w:val="0"/>
        <w:spacing w:before="67" w:line="240" w:lineRule="auto"/>
        <w:ind w:left="-420" w:firstLineChars="0"/>
        <w:jc w:val="both"/>
        <w:outlineLvl w:val="1"/>
        <w:rPr>
          <w:rFonts w:hint="eastAsia" w:cs="宋体"/>
          <w:b/>
          <w:highlight w:val="none"/>
          <w:lang w:eastAsia="en-US"/>
        </w:rPr>
      </w:pPr>
      <w:bookmarkStart w:id="1" w:name="_Toc450902076"/>
      <w:bookmarkStart w:id="2" w:name="_Toc18194"/>
      <w:r>
        <w:rPr>
          <w:rFonts w:hint="eastAsia" w:cs="宋体"/>
          <w:b/>
          <w:highlight w:val="none"/>
          <w:lang w:eastAsia="en-US"/>
        </w:rPr>
        <w:t>总则</w:t>
      </w:r>
      <w:bookmarkEnd w:id="1"/>
      <w:bookmarkEnd w:id="2"/>
    </w:p>
    <w:p w14:paraId="51249EA4">
      <w:pPr>
        <w:spacing w:before="191"/>
        <w:ind w:firstLine="0" w:firstLineChars="0"/>
        <w:rPr>
          <w:b/>
          <w:highlight w:val="none"/>
        </w:rPr>
      </w:pPr>
      <w:r>
        <w:rPr>
          <w:b/>
          <w:highlight w:val="none"/>
        </w:rPr>
        <w:t>1、项目概况</w:t>
      </w:r>
    </w:p>
    <w:p w14:paraId="407A7621">
      <w:pPr>
        <w:numPr>
          <w:ilvl w:val="0"/>
          <w:numId w:val="3"/>
        </w:numPr>
        <w:tabs>
          <w:tab w:val="left" w:pos="525"/>
          <w:tab w:val="clear" w:pos="312"/>
        </w:tabs>
        <w:autoSpaceDE w:val="0"/>
        <w:autoSpaceDN w:val="0"/>
        <w:adjustRightInd w:val="0"/>
        <w:ind w:firstLine="480" w:firstLineChars="0"/>
        <w:rPr>
          <w:rFonts w:hint="eastAsia" w:cs="宋体"/>
          <w:szCs w:val="24"/>
          <w:highlight w:val="none"/>
        </w:rPr>
      </w:pPr>
      <w:r>
        <w:rPr>
          <w:rFonts w:hint="eastAsia" w:cs="宋体"/>
          <w:szCs w:val="24"/>
          <w:highlight w:val="none"/>
        </w:rPr>
        <w:t xml:space="preserve">本标书的“招标人”为 </w:t>
      </w:r>
      <w:r>
        <w:rPr>
          <w:rFonts w:hint="eastAsia" w:cs="宋体"/>
          <w:szCs w:val="24"/>
          <w:highlight w:val="none"/>
          <w:lang w:eastAsia="zh-CN"/>
        </w:rPr>
        <w:t>黄石市磁湖梦房屋租赁有限公司</w:t>
      </w:r>
      <w:r>
        <w:rPr>
          <w:rFonts w:hint="eastAsia" w:cs="宋体"/>
          <w:szCs w:val="24"/>
          <w:highlight w:val="none"/>
        </w:rPr>
        <w:t>；</w:t>
      </w:r>
    </w:p>
    <w:p w14:paraId="66C3812D">
      <w:pPr>
        <w:numPr>
          <w:ilvl w:val="0"/>
          <w:numId w:val="3"/>
        </w:numPr>
        <w:tabs>
          <w:tab w:val="left" w:pos="525"/>
          <w:tab w:val="clear" w:pos="312"/>
        </w:tabs>
        <w:autoSpaceDE w:val="0"/>
        <w:autoSpaceDN w:val="0"/>
        <w:adjustRightInd w:val="0"/>
        <w:ind w:firstLine="480" w:firstLineChars="0"/>
        <w:rPr>
          <w:rFonts w:hint="eastAsia" w:cs="宋体"/>
          <w:szCs w:val="24"/>
          <w:highlight w:val="none"/>
        </w:rPr>
      </w:pPr>
      <w:r>
        <w:rPr>
          <w:rFonts w:hint="eastAsia" w:cs="宋体"/>
          <w:szCs w:val="24"/>
          <w:highlight w:val="none"/>
        </w:rPr>
        <w:t>本标书的“投标人”是指向招标人提交投标文件的单位；</w:t>
      </w:r>
    </w:p>
    <w:p w14:paraId="3910BDB5">
      <w:pPr>
        <w:numPr>
          <w:ilvl w:val="0"/>
          <w:numId w:val="3"/>
        </w:numPr>
        <w:tabs>
          <w:tab w:val="left" w:pos="525"/>
          <w:tab w:val="clear" w:pos="312"/>
        </w:tabs>
        <w:autoSpaceDE w:val="0"/>
        <w:autoSpaceDN w:val="0"/>
        <w:adjustRightInd w:val="0"/>
        <w:ind w:firstLine="480" w:firstLineChars="0"/>
        <w:rPr>
          <w:rFonts w:hint="eastAsia" w:cs="宋体"/>
          <w:szCs w:val="24"/>
          <w:highlight w:val="none"/>
        </w:rPr>
      </w:pPr>
      <w:r>
        <w:rPr>
          <w:rFonts w:hint="eastAsia" w:cs="宋体"/>
          <w:szCs w:val="24"/>
          <w:highlight w:val="none"/>
        </w:rPr>
        <w:t>本次招标的代理机构为：</w:t>
      </w:r>
      <w:r>
        <w:rPr>
          <w:rFonts w:hint="eastAsia" w:cs="宋体"/>
          <w:szCs w:val="24"/>
          <w:highlight w:val="none"/>
          <w:lang w:eastAsia="zh-CN"/>
        </w:rPr>
        <w:t>黄石城发工程咨询有限公司</w:t>
      </w:r>
      <w:r>
        <w:rPr>
          <w:rFonts w:hint="eastAsia" w:cs="宋体"/>
          <w:szCs w:val="24"/>
          <w:highlight w:val="none"/>
        </w:rPr>
        <w:t>；</w:t>
      </w:r>
    </w:p>
    <w:p w14:paraId="6CB437DB">
      <w:pPr>
        <w:numPr>
          <w:ilvl w:val="0"/>
          <w:numId w:val="3"/>
        </w:numPr>
        <w:tabs>
          <w:tab w:val="left" w:pos="525"/>
          <w:tab w:val="clear" w:pos="312"/>
        </w:tabs>
        <w:autoSpaceDE w:val="0"/>
        <w:autoSpaceDN w:val="0"/>
        <w:adjustRightInd w:val="0"/>
        <w:ind w:firstLine="480" w:firstLineChars="0"/>
        <w:rPr>
          <w:rFonts w:hint="eastAsia" w:cs="宋体"/>
          <w:szCs w:val="24"/>
          <w:highlight w:val="none"/>
        </w:rPr>
      </w:pPr>
      <w:r>
        <w:rPr>
          <w:rFonts w:hint="eastAsia" w:cs="宋体"/>
          <w:szCs w:val="24"/>
          <w:highlight w:val="none"/>
        </w:rPr>
        <w:t>项目名称：见投标人须知前附表；</w:t>
      </w:r>
    </w:p>
    <w:p w14:paraId="4B0B4344">
      <w:pPr>
        <w:numPr>
          <w:ilvl w:val="0"/>
          <w:numId w:val="3"/>
        </w:numPr>
        <w:tabs>
          <w:tab w:val="left" w:pos="525"/>
          <w:tab w:val="clear" w:pos="312"/>
        </w:tabs>
        <w:autoSpaceDE w:val="0"/>
        <w:autoSpaceDN w:val="0"/>
        <w:adjustRightInd w:val="0"/>
        <w:ind w:firstLine="480" w:firstLineChars="0"/>
        <w:rPr>
          <w:rFonts w:hint="eastAsia" w:cs="宋体"/>
          <w:szCs w:val="24"/>
          <w:highlight w:val="none"/>
        </w:rPr>
      </w:pPr>
      <w:r>
        <w:rPr>
          <w:rFonts w:hint="eastAsia" w:cs="宋体"/>
          <w:szCs w:val="24"/>
          <w:highlight w:val="none"/>
        </w:rPr>
        <w:t>项目工期：见投标人须知前附表；</w:t>
      </w:r>
    </w:p>
    <w:p w14:paraId="3562E457">
      <w:pPr>
        <w:numPr>
          <w:ilvl w:val="0"/>
          <w:numId w:val="3"/>
        </w:numPr>
        <w:tabs>
          <w:tab w:val="left" w:pos="525"/>
          <w:tab w:val="clear" w:pos="312"/>
        </w:tabs>
        <w:autoSpaceDE w:val="0"/>
        <w:autoSpaceDN w:val="0"/>
        <w:adjustRightInd w:val="0"/>
        <w:ind w:firstLine="480" w:firstLineChars="0"/>
        <w:rPr>
          <w:rFonts w:hint="eastAsia" w:cs="宋体"/>
          <w:szCs w:val="24"/>
          <w:highlight w:val="none"/>
        </w:rPr>
      </w:pPr>
      <w:r>
        <w:rPr>
          <w:rFonts w:hint="eastAsia" w:cs="宋体"/>
          <w:szCs w:val="24"/>
          <w:highlight w:val="none"/>
        </w:rPr>
        <w:t>资金来源：见投标人须知前附表。</w:t>
      </w:r>
    </w:p>
    <w:p w14:paraId="5D9D5D2C">
      <w:pPr>
        <w:spacing w:before="191"/>
        <w:ind w:firstLine="0" w:firstLineChars="0"/>
        <w:rPr>
          <w:rFonts w:hint="eastAsia"/>
          <w:szCs w:val="24"/>
          <w:highlight w:val="none"/>
        </w:rPr>
      </w:pPr>
      <w:bookmarkStart w:id="3" w:name="_Toc450902077"/>
      <w:r>
        <w:rPr>
          <w:rFonts w:hint="eastAsia"/>
          <w:b/>
          <w:highlight w:val="none"/>
        </w:rPr>
        <w:t>2资金来源和落实情况</w:t>
      </w:r>
    </w:p>
    <w:p w14:paraId="2618BA2C">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2.1 本招标项目的资金来源：见投标人须知前附表。</w:t>
      </w:r>
    </w:p>
    <w:p w14:paraId="6F0290CE">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2.2 本招标项目的出资比例：见投标人须知前附表。</w:t>
      </w:r>
    </w:p>
    <w:p w14:paraId="2D5762F0">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2.3 本招标项目的资金落实情况：见投标人须知前附表。</w:t>
      </w:r>
    </w:p>
    <w:p w14:paraId="132C4B68">
      <w:pPr>
        <w:spacing w:before="191"/>
        <w:ind w:firstLine="0" w:firstLineChars="0"/>
        <w:rPr>
          <w:rFonts w:hint="eastAsia"/>
          <w:szCs w:val="24"/>
          <w:highlight w:val="none"/>
        </w:rPr>
      </w:pPr>
      <w:r>
        <w:rPr>
          <w:rFonts w:hint="eastAsia"/>
          <w:b/>
          <w:highlight w:val="none"/>
        </w:rPr>
        <w:t>3招标范围、计划工期和质量要求</w:t>
      </w:r>
    </w:p>
    <w:p w14:paraId="7162C4DC">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3.1 本次招标范围：见投标人须知前附表。</w:t>
      </w:r>
    </w:p>
    <w:p w14:paraId="6AEBD965">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3.2 本项目的计划工期：见投标人须知前附表。</w:t>
      </w:r>
    </w:p>
    <w:p w14:paraId="2014EAAD">
      <w:pPr>
        <w:tabs>
          <w:tab w:val="left" w:pos="525"/>
        </w:tabs>
        <w:autoSpaceDE w:val="0"/>
        <w:autoSpaceDN w:val="0"/>
        <w:adjustRightInd w:val="0"/>
        <w:ind w:left="480" w:firstLine="0" w:firstLineChars="0"/>
        <w:rPr>
          <w:rFonts w:hint="eastAsia"/>
          <w:szCs w:val="24"/>
          <w:highlight w:val="none"/>
        </w:rPr>
      </w:pPr>
      <w:r>
        <w:rPr>
          <w:rFonts w:hint="eastAsia" w:cs="宋体"/>
          <w:szCs w:val="24"/>
          <w:highlight w:val="none"/>
        </w:rPr>
        <w:t>3.3 本项目的质量要求：见投标人须知前附表。</w:t>
      </w:r>
    </w:p>
    <w:p w14:paraId="3F99444D">
      <w:pPr>
        <w:spacing w:before="191"/>
        <w:ind w:firstLine="0" w:firstLineChars="0"/>
        <w:rPr>
          <w:rFonts w:hint="eastAsia"/>
          <w:szCs w:val="24"/>
          <w:highlight w:val="none"/>
        </w:rPr>
      </w:pPr>
      <w:r>
        <w:rPr>
          <w:rFonts w:hint="eastAsia"/>
          <w:b/>
          <w:highlight w:val="none"/>
        </w:rPr>
        <w:t>4投标人资格要求</w:t>
      </w:r>
    </w:p>
    <w:p w14:paraId="66A6F4BE">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4.1投标人应具备承担本项目施工的资质条件、能力和信誉。</w:t>
      </w:r>
    </w:p>
    <w:p w14:paraId="07BD7C95">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（1）资质条件：见投标人须知前附表；</w:t>
      </w:r>
    </w:p>
    <w:p w14:paraId="5DE3DF6F">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（2）业绩要求：见投标人须知前附表；</w:t>
      </w:r>
    </w:p>
    <w:p w14:paraId="2EC6F56E">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（3）项目经理资格：见投标人须知前附表；</w:t>
      </w:r>
    </w:p>
    <w:p w14:paraId="1BE9F8BD">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（4）其他要求：见投标人须知前附表。</w:t>
      </w:r>
    </w:p>
    <w:p w14:paraId="7C4FBE61">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4.2投标人不得存在下列情形之一：</w:t>
      </w:r>
    </w:p>
    <w:p w14:paraId="485C149F">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（1）为招标人不具有独立法人资格的附属机构（单位）；</w:t>
      </w:r>
    </w:p>
    <w:p w14:paraId="71D1A44C">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（2）为本项目前期准备提供设计或咨询服务的，但设计施工总承包的除外；</w:t>
      </w:r>
    </w:p>
    <w:p w14:paraId="304F1FF6">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（3）为本项目的监理人；</w:t>
      </w:r>
    </w:p>
    <w:p w14:paraId="6005FE45">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（4）为本项目的代建人；</w:t>
      </w:r>
    </w:p>
    <w:p w14:paraId="6128841E">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（5）为本项目提供招标代理服务的；</w:t>
      </w:r>
    </w:p>
    <w:p w14:paraId="257F4823">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（6）与本项目的监理人或代建人或招标代理机构同为一个法定代表人的；</w:t>
      </w:r>
    </w:p>
    <w:p w14:paraId="3CE16084">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（7）与本项目的监理人或代建人或招标代理机构相互控股或参股的；</w:t>
      </w:r>
    </w:p>
    <w:p w14:paraId="66C7B7AF">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（8）与本项目的监理人或代建人或招标代理机构相互任职或工作的；</w:t>
      </w:r>
    </w:p>
    <w:p w14:paraId="7FAD3BAA">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（9）被责令停业的；</w:t>
      </w:r>
    </w:p>
    <w:p w14:paraId="556D6826">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（10）被暂停或取消投标资格的（指被本招标项目所在地县级及以上住房城乡建设主管部门或其他行政主管部门暂停或取消投标资格或禁止进入该区域建设市场且处于有效期内）；</w:t>
      </w:r>
    </w:p>
    <w:p w14:paraId="699F7D43">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（11）财产被接管或冻结的；</w:t>
      </w:r>
    </w:p>
    <w:p w14:paraId="2426A1F7">
      <w:pPr>
        <w:tabs>
          <w:tab w:val="left" w:pos="525"/>
        </w:tabs>
        <w:autoSpaceDE w:val="0"/>
        <w:autoSpaceDN w:val="0"/>
        <w:adjustRightInd w:val="0"/>
        <w:ind w:left="480" w:firstLine="0" w:firstLineChars="0"/>
        <w:rPr>
          <w:rFonts w:hint="eastAsia"/>
          <w:szCs w:val="24"/>
          <w:highlight w:val="none"/>
        </w:rPr>
      </w:pPr>
      <w:r>
        <w:rPr>
          <w:rFonts w:hint="eastAsia" w:cs="宋体"/>
          <w:szCs w:val="24"/>
          <w:highlight w:val="none"/>
        </w:rPr>
        <w:t>（12）在最近三年内有骗取中标或严重违约或重大工程质量问题的。</w:t>
      </w:r>
    </w:p>
    <w:p w14:paraId="6B50DBA5">
      <w:pPr>
        <w:tabs>
          <w:tab w:val="left" w:pos="525"/>
        </w:tabs>
        <w:autoSpaceDE w:val="0"/>
        <w:autoSpaceDN w:val="0"/>
        <w:adjustRightInd w:val="0"/>
        <w:ind w:left="480" w:firstLine="0" w:firstLineChars="0"/>
        <w:rPr>
          <w:rFonts w:hint="eastAsia"/>
          <w:szCs w:val="24"/>
          <w:highlight w:val="none"/>
        </w:rPr>
      </w:pPr>
      <w:r>
        <w:rPr>
          <w:rFonts w:hint="eastAsia" w:cs="宋体"/>
          <w:szCs w:val="24"/>
          <w:highlight w:val="none"/>
        </w:rPr>
        <w:t>4.4投标人存在下列情形之一的，相关投标均无效：</w:t>
      </w:r>
    </w:p>
    <w:p w14:paraId="344BDF9D">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（1）与招标人存在利害关系影响招标公正性的；</w:t>
      </w:r>
    </w:p>
    <w:p w14:paraId="606B7A64">
      <w:pPr>
        <w:tabs>
          <w:tab w:val="left" w:pos="525"/>
        </w:tabs>
        <w:autoSpaceDE w:val="0"/>
        <w:autoSpaceDN w:val="0"/>
        <w:adjustRightInd w:val="0"/>
        <w:ind w:left="480" w:firstLine="0" w:firstLineChars="0"/>
        <w:rPr>
          <w:rFonts w:hint="eastAsia" w:cs="宋体"/>
          <w:szCs w:val="24"/>
          <w:highlight w:val="none"/>
        </w:rPr>
      </w:pPr>
      <w:r>
        <w:rPr>
          <w:rFonts w:hint="eastAsia" w:cs="宋体"/>
          <w:szCs w:val="24"/>
          <w:highlight w:val="none"/>
        </w:rPr>
        <w:t>（2）法定代表人为同一人或者存在控股、管理关系的不同单位，参加同一标段投标的，共同组成联合体投标的除外。</w:t>
      </w:r>
    </w:p>
    <w:p w14:paraId="62349F77">
      <w:pPr>
        <w:spacing w:before="191"/>
        <w:ind w:firstLine="0" w:firstLineChars="0"/>
        <w:rPr>
          <w:rFonts w:hint="eastAsia"/>
          <w:szCs w:val="24"/>
          <w:highlight w:val="none"/>
        </w:rPr>
      </w:pPr>
      <w:r>
        <w:rPr>
          <w:rFonts w:hint="eastAsia"/>
          <w:b/>
          <w:highlight w:val="none"/>
        </w:rPr>
        <w:t>5费用承担</w:t>
      </w:r>
    </w:p>
    <w:p w14:paraId="422235B9">
      <w:pPr>
        <w:tabs>
          <w:tab w:val="left" w:pos="525"/>
        </w:tabs>
        <w:autoSpaceDE w:val="0"/>
        <w:autoSpaceDN w:val="0"/>
        <w:adjustRightInd w:val="0"/>
        <w:ind w:firstLine="480"/>
        <w:rPr>
          <w:rFonts w:hint="eastAsia" w:cs="宋体"/>
          <w:szCs w:val="24"/>
          <w:highlight w:val="none"/>
        </w:rPr>
      </w:pPr>
      <w:r>
        <w:rPr>
          <w:rFonts w:hint="eastAsia" w:cs="宋体"/>
          <w:szCs w:val="24"/>
          <w:highlight w:val="none"/>
        </w:rPr>
        <w:t>投标人应承担招标文件费用 300 元及其参加本项目采购活动自身所发生的所有费用。不论结果如何，招标人及代理机构在任何情况下均无义务和责任承担这项费用。</w:t>
      </w:r>
    </w:p>
    <w:p w14:paraId="464482B8">
      <w:pPr>
        <w:spacing w:before="191"/>
        <w:ind w:firstLine="0" w:firstLineChars="0"/>
        <w:rPr>
          <w:rFonts w:hint="eastAsia"/>
          <w:szCs w:val="24"/>
          <w:highlight w:val="none"/>
        </w:rPr>
      </w:pPr>
      <w:r>
        <w:rPr>
          <w:rFonts w:hint="eastAsia"/>
          <w:b/>
          <w:highlight w:val="none"/>
        </w:rPr>
        <w:t>6保密</w:t>
      </w:r>
    </w:p>
    <w:p w14:paraId="7BAE0288">
      <w:pPr>
        <w:tabs>
          <w:tab w:val="left" w:pos="567"/>
        </w:tabs>
        <w:ind w:firstLine="480"/>
        <w:rPr>
          <w:rFonts w:hint="eastAsia"/>
          <w:szCs w:val="24"/>
          <w:highlight w:val="none"/>
        </w:rPr>
      </w:pPr>
      <w:bookmarkStart w:id="4" w:name="_Toc13960"/>
      <w:r>
        <w:rPr>
          <w:rFonts w:hint="eastAsia"/>
          <w:szCs w:val="24"/>
          <w:highlight w:val="none"/>
        </w:rPr>
        <w:t>参与招标投标活动的各方应对招标文件和投标文件中的商业和技术等秘密保密，违者应对由此造成的后果承担法律责任。</w:t>
      </w:r>
      <w:bookmarkEnd w:id="4"/>
    </w:p>
    <w:p w14:paraId="3F753481">
      <w:pPr>
        <w:spacing w:before="191"/>
        <w:ind w:firstLine="0" w:firstLineChars="0"/>
        <w:rPr>
          <w:rFonts w:hint="eastAsia"/>
          <w:szCs w:val="24"/>
          <w:highlight w:val="none"/>
        </w:rPr>
      </w:pPr>
      <w:r>
        <w:rPr>
          <w:rFonts w:hint="eastAsia"/>
          <w:b/>
          <w:highlight w:val="none"/>
        </w:rPr>
        <w:t>7语言文字</w:t>
      </w:r>
    </w:p>
    <w:p w14:paraId="2989F46F">
      <w:pPr>
        <w:tabs>
          <w:tab w:val="left" w:pos="567"/>
        </w:tabs>
        <w:ind w:firstLine="480"/>
        <w:rPr>
          <w:rFonts w:hint="eastAsia"/>
          <w:szCs w:val="24"/>
          <w:highlight w:val="none"/>
        </w:rPr>
      </w:pPr>
      <w:bookmarkStart w:id="5" w:name="_Toc30025"/>
      <w:r>
        <w:rPr>
          <w:rFonts w:hint="eastAsia"/>
          <w:szCs w:val="24"/>
          <w:highlight w:val="none"/>
        </w:rPr>
        <w:t>除专用术语外，与招标投标有关的语言均使用中文。必要时专用术语应附有中文注释。</w:t>
      </w:r>
      <w:bookmarkEnd w:id="5"/>
    </w:p>
    <w:p w14:paraId="1D7C8257">
      <w:pPr>
        <w:spacing w:before="191"/>
        <w:ind w:firstLine="0" w:firstLineChars="0"/>
        <w:rPr>
          <w:rFonts w:hint="eastAsia"/>
          <w:szCs w:val="24"/>
          <w:highlight w:val="none"/>
        </w:rPr>
      </w:pPr>
      <w:r>
        <w:rPr>
          <w:rFonts w:hint="eastAsia"/>
          <w:b/>
          <w:highlight w:val="none"/>
        </w:rPr>
        <w:t>8计量单位</w:t>
      </w:r>
    </w:p>
    <w:p w14:paraId="4F20ACF8">
      <w:pPr>
        <w:tabs>
          <w:tab w:val="left" w:pos="567"/>
        </w:tabs>
        <w:ind w:firstLine="480"/>
        <w:rPr>
          <w:rFonts w:hint="eastAsia"/>
          <w:szCs w:val="24"/>
          <w:highlight w:val="none"/>
        </w:rPr>
      </w:pPr>
      <w:bookmarkStart w:id="6" w:name="_Toc25765"/>
      <w:r>
        <w:rPr>
          <w:rFonts w:hint="eastAsia"/>
          <w:szCs w:val="24"/>
          <w:highlight w:val="none"/>
        </w:rPr>
        <w:t>所有计量均采用中华人民共和国法定计量单位。</w:t>
      </w:r>
      <w:bookmarkEnd w:id="6"/>
    </w:p>
    <w:p w14:paraId="38128175">
      <w:pPr>
        <w:spacing w:before="191"/>
        <w:ind w:firstLine="0" w:firstLineChars="0"/>
        <w:rPr>
          <w:rFonts w:hint="eastAsia"/>
          <w:szCs w:val="24"/>
          <w:highlight w:val="none"/>
        </w:rPr>
      </w:pPr>
      <w:r>
        <w:rPr>
          <w:rFonts w:hint="eastAsia"/>
          <w:b/>
          <w:highlight w:val="none"/>
        </w:rPr>
        <w:t>9踏勘现场</w:t>
      </w:r>
    </w:p>
    <w:p w14:paraId="60741711">
      <w:pPr>
        <w:numPr>
          <w:ilvl w:val="1"/>
          <w:numId w:val="0"/>
        </w:numPr>
        <w:tabs>
          <w:tab w:val="left" w:pos="567"/>
        </w:tabs>
        <w:ind w:firstLine="480" w:firstLineChars="200"/>
        <w:rPr>
          <w:rFonts w:hint="eastAsia"/>
          <w:bCs/>
          <w:szCs w:val="24"/>
          <w:highlight w:val="none"/>
        </w:rPr>
      </w:pPr>
      <w:bookmarkStart w:id="7" w:name="_Toc15719"/>
      <w:r>
        <w:rPr>
          <w:rFonts w:hint="eastAsia"/>
          <w:bCs/>
          <w:szCs w:val="24"/>
          <w:highlight w:val="none"/>
        </w:rPr>
        <w:t>9.1投标人须知前附表规定组织踏勘现场的，招标人按投标人须知前附表规定的时间、地点组织投标人踏勘项目现场。</w:t>
      </w:r>
      <w:bookmarkEnd w:id="7"/>
    </w:p>
    <w:p w14:paraId="00F5B516">
      <w:pPr>
        <w:numPr>
          <w:ilvl w:val="1"/>
          <w:numId w:val="0"/>
        </w:numPr>
        <w:tabs>
          <w:tab w:val="left" w:pos="567"/>
        </w:tabs>
        <w:ind w:firstLine="480" w:firstLineChars="200"/>
        <w:rPr>
          <w:rFonts w:hint="eastAsia"/>
          <w:bCs/>
          <w:szCs w:val="24"/>
          <w:highlight w:val="none"/>
        </w:rPr>
      </w:pPr>
      <w:bookmarkStart w:id="8" w:name="_Toc405"/>
      <w:r>
        <w:rPr>
          <w:rFonts w:hint="eastAsia"/>
          <w:bCs/>
          <w:szCs w:val="24"/>
          <w:highlight w:val="none"/>
        </w:rPr>
        <w:t>9.2投标人踏勘现场发生的费用自理。</w:t>
      </w:r>
      <w:bookmarkEnd w:id="8"/>
    </w:p>
    <w:p w14:paraId="2865F3B4">
      <w:pPr>
        <w:numPr>
          <w:ilvl w:val="1"/>
          <w:numId w:val="0"/>
        </w:numPr>
        <w:tabs>
          <w:tab w:val="left" w:pos="567"/>
        </w:tabs>
        <w:ind w:firstLine="480" w:firstLineChars="200"/>
        <w:rPr>
          <w:rFonts w:hint="eastAsia"/>
          <w:bCs/>
          <w:szCs w:val="24"/>
          <w:highlight w:val="none"/>
        </w:rPr>
      </w:pPr>
      <w:bookmarkStart w:id="9" w:name="_Toc16607"/>
      <w:r>
        <w:rPr>
          <w:rFonts w:hint="eastAsia"/>
          <w:bCs/>
          <w:szCs w:val="24"/>
          <w:highlight w:val="none"/>
        </w:rPr>
        <w:t>9.3除招标人的原因外，投标人自行负责在踏勘现场中所发生的人员伤亡和财产损失。</w:t>
      </w:r>
      <w:bookmarkEnd w:id="9"/>
    </w:p>
    <w:p w14:paraId="3B966288">
      <w:pPr>
        <w:numPr>
          <w:ilvl w:val="1"/>
          <w:numId w:val="0"/>
        </w:numPr>
        <w:tabs>
          <w:tab w:val="left" w:pos="567"/>
        </w:tabs>
        <w:ind w:firstLine="480" w:firstLineChars="200"/>
        <w:rPr>
          <w:rFonts w:hint="eastAsia"/>
          <w:bCs/>
          <w:szCs w:val="24"/>
          <w:highlight w:val="none"/>
        </w:rPr>
      </w:pPr>
      <w:bookmarkStart w:id="10" w:name="_Toc14836"/>
      <w:r>
        <w:rPr>
          <w:rFonts w:hint="eastAsia"/>
          <w:bCs/>
          <w:szCs w:val="24"/>
          <w:highlight w:val="none"/>
        </w:rPr>
        <w:t>9.4招标人在踏勘现场中介绍的工程场地和相关的周边环境情况，供投标人在编制投标文件时参考，招标人不对投标人据此作出的判断和决策负责。</w:t>
      </w:r>
      <w:bookmarkEnd w:id="10"/>
    </w:p>
    <w:p w14:paraId="1D6720CE">
      <w:pPr>
        <w:spacing w:before="191"/>
        <w:ind w:firstLine="0" w:firstLineChars="0"/>
        <w:rPr>
          <w:rFonts w:hint="eastAsia"/>
          <w:szCs w:val="24"/>
          <w:highlight w:val="none"/>
        </w:rPr>
      </w:pPr>
      <w:r>
        <w:rPr>
          <w:rFonts w:hint="eastAsia"/>
          <w:b/>
          <w:highlight w:val="none"/>
        </w:rPr>
        <w:t>10投标预备会</w:t>
      </w:r>
    </w:p>
    <w:p w14:paraId="04995F25">
      <w:pPr>
        <w:numPr>
          <w:ilvl w:val="1"/>
          <w:numId w:val="0"/>
        </w:numPr>
        <w:tabs>
          <w:tab w:val="left" w:pos="567"/>
        </w:tabs>
        <w:ind w:firstLine="480" w:firstLineChars="200"/>
        <w:rPr>
          <w:rFonts w:hint="eastAsia"/>
          <w:bCs/>
          <w:szCs w:val="24"/>
          <w:highlight w:val="none"/>
        </w:rPr>
      </w:pPr>
      <w:bookmarkStart w:id="11" w:name="_Toc23176"/>
      <w:r>
        <w:rPr>
          <w:rFonts w:hint="eastAsia"/>
          <w:bCs/>
          <w:szCs w:val="24"/>
          <w:highlight w:val="none"/>
        </w:rPr>
        <w:t>10.1投标人须知前附表规定召开投标预备会的，招标人按投标人须知前附表规定的时间和地点召开投标预备会，澄清投标人提出的问题。</w:t>
      </w:r>
      <w:bookmarkEnd w:id="11"/>
    </w:p>
    <w:p w14:paraId="76979A96">
      <w:pPr>
        <w:numPr>
          <w:ilvl w:val="1"/>
          <w:numId w:val="0"/>
        </w:numPr>
        <w:tabs>
          <w:tab w:val="left" w:pos="567"/>
        </w:tabs>
        <w:ind w:firstLine="480" w:firstLineChars="200"/>
        <w:rPr>
          <w:rFonts w:hint="eastAsia"/>
          <w:bCs/>
          <w:szCs w:val="24"/>
          <w:highlight w:val="none"/>
        </w:rPr>
      </w:pPr>
      <w:bookmarkStart w:id="12" w:name="_Toc836"/>
      <w:r>
        <w:rPr>
          <w:rFonts w:hint="eastAsia"/>
          <w:bCs/>
          <w:szCs w:val="24"/>
          <w:highlight w:val="none"/>
        </w:rPr>
        <w:t>10.2在投标人须知规定的时间内，招标人对投标人所提问题的澄清将以书面形式通知所有购买招标文件的投标人。该澄清内容为招标文件的组成部分。</w:t>
      </w:r>
      <w:bookmarkEnd w:id="12"/>
    </w:p>
    <w:p w14:paraId="69974442">
      <w:pPr>
        <w:spacing w:before="191"/>
        <w:ind w:firstLine="0" w:firstLineChars="0"/>
        <w:rPr>
          <w:rFonts w:hint="eastAsia"/>
          <w:szCs w:val="24"/>
          <w:highlight w:val="none"/>
        </w:rPr>
      </w:pPr>
      <w:r>
        <w:rPr>
          <w:rFonts w:hint="eastAsia"/>
          <w:b/>
          <w:highlight w:val="none"/>
        </w:rPr>
        <w:t>11分包</w:t>
      </w:r>
    </w:p>
    <w:p w14:paraId="0A2735E3">
      <w:pPr>
        <w:tabs>
          <w:tab w:val="left" w:pos="567"/>
        </w:tabs>
        <w:ind w:firstLine="480"/>
        <w:rPr>
          <w:rFonts w:hint="eastAsia"/>
          <w:szCs w:val="24"/>
          <w:highlight w:val="none"/>
        </w:rPr>
      </w:pPr>
      <w:bookmarkStart w:id="13" w:name="_Toc8151"/>
      <w:r>
        <w:rPr>
          <w:rFonts w:hint="eastAsia"/>
          <w:szCs w:val="24"/>
          <w:highlight w:val="none"/>
        </w:rPr>
        <w:t>不允许专业分包</w:t>
      </w:r>
      <w:bookmarkEnd w:id="13"/>
    </w:p>
    <w:p w14:paraId="1D4782A6">
      <w:pPr>
        <w:spacing w:before="191"/>
        <w:ind w:firstLine="0" w:firstLineChars="0"/>
        <w:rPr>
          <w:rFonts w:hint="eastAsia"/>
          <w:szCs w:val="24"/>
          <w:highlight w:val="none"/>
        </w:rPr>
      </w:pPr>
      <w:r>
        <w:rPr>
          <w:rFonts w:hint="eastAsia"/>
          <w:b/>
          <w:highlight w:val="none"/>
        </w:rPr>
        <w:t>12偏离</w:t>
      </w:r>
    </w:p>
    <w:p w14:paraId="2E45525D">
      <w:pPr>
        <w:tabs>
          <w:tab w:val="left" w:pos="567"/>
        </w:tabs>
        <w:ind w:firstLine="480"/>
        <w:rPr>
          <w:rFonts w:hint="eastAsia"/>
          <w:szCs w:val="24"/>
          <w:highlight w:val="none"/>
        </w:rPr>
      </w:pPr>
      <w:bookmarkStart w:id="14" w:name="_Toc9012"/>
      <w:r>
        <w:rPr>
          <w:rFonts w:hint="eastAsia"/>
          <w:szCs w:val="24"/>
          <w:highlight w:val="none"/>
        </w:rPr>
        <w:t>投标人须知前附表允许投标文件偏离招标文件某些要求的，偏离应当符合招标文件规定的偏离范围和幅度。</w:t>
      </w:r>
      <w:bookmarkEnd w:id="14"/>
    </w:p>
    <w:p w14:paraId="2742F495">
      <w:pPr>
        <w:widowControl w:val="0"/>
        <w:numPr>
          <w:ilvl w:val="0"/>
          <w:numId w:val="2"/>
        </w:numPr>
        <w:autoSpaceDE w:val="0"/>
        <w:autoSpaceDN w:val="0"/>
        <w:spacing w:before="67" w:line="240" w:lineRule="auto"/>
        <w:ind w:left="-420" w:firstLineChars="0"/>
        <w:jc w:val="both"/>
        <w:outlineLvl w:val="1"/>
        <w:rPr>
          <w:rFonts w:hint="eastAsia" w:cs="宋体"/>
          <w:b/>
          <w:highlight w:val="none"/>
          <w:lang w:eastAsia="en-US"/>
        </w:rPr>
      </w:pPr>
      <w:bookmarkStart w:id="15" w:name="_Toc16302"/>
      <w:r>
        <w:rPr>
          <w:rFonts w:hint="eastAsia" w:cs="宋体"/>
          <w:b/>
          <w:highlight w:val="none"/>
          <w:lang w:eastAsia="en-US"/>
        </w:rPr>
        <w:t>招标文件</w:t>
      </w:r>
      <w:bookmarkEnd w:id="3"/>
      <w:bookmarkEnd w:id="15"/>
    </w:p>
    <w:p w14:paraId="6D51559C">
      <w:pPr>
        <w:numPr>
          <w:ilvl w:val="3"/>
          <w:numId w:val="4"/>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招标文件的构成</w:t>
      </w:r>
    </w:p>
    <w:p w14:paraId="636E70E8">
      <w:pPr>
        <w:numPr>
          <w:ilvl w:val="1"/>
          <w:numId w:val="5"/>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本招标文件包括：</w:t>
      </w:r>
    </w:p>
    <w:p w14:paraId="03C0DD3C">
      <w:pPr>
        <w:numPr>
          <w:ilvl w:val="2"/>
          <w:numId w:val="6"/>
        </w:numPr>
        <w:tabs>
          <w:tab w:val="left" w:pos="525"/>
          <w:tab w:val="clear" w:pos="150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招标公告</w:t>
      </w:r>
    </w:p>
    <w:p w14:paraId="459FB00E">
      <w:pPr>
        <w:numPr>
          <w:ilvl w:val="2"/>
          <w:numId w:val="6"/>
        </w:numPr>
        <w:tabs>
          <w:tab w:val="left" w:pos="525"/>
          <w:tab w:val="clear" w:pos="150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rPr>
        <w:t>投标人</w:t>
      </w:r>
      <w:r>
        <w:rPr>
          <w:rFonts w:hint="eastAsia" w:cs="宋体"/>
          <w:snapToGrid w:val="0"/>
          <w:szCs w:val="24"/>
          <w:highlight w:val="none"/>
          <w:lang w:val="zh-CN"/>
        </w:rPr>
        <w:t>须知</w:t>
      </w:r>
    </w:p>
    <w:p w14:paraId="64FC56DD">
      <w:pPr>
        <w:numPr>
          <w:ilvl w:val="2"/>
          <w:numId w:val="6"/>
        </w:numPr>
        <w:tabs>
          <w:tab w:val="left" w:pos="525"/>
          <w:tab w:val="clear" w:pos="150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rPr>
        <w:t>项目</w:t>
      </w:r>
      <w:r>
        <w:rPr>
          <w:rFonts w:hint="eastAsia" w:cs="宋体"/>
          <w:snapToGrid w:val="0"/>
          <w:szCs w:val="24"/>
          <w:highlight w:val="none"/>
          <w:lang w:val="zh-CN"/>
        </w:rPr>
        <w:t>需求</w:t>
      </w:r>
    </w:p>
    <w:p w14:paraId="78FCECF9">
      <w:pPr>
        <w:numPr>
          <w:ilvl w:val="2"/>
          <w:numId w:val="6"/>
        </w:numPr>
        <w:tabs>
          <w:tab w:val="left" w:pos="525"/>
          <w:tab w:val="clear" w:pos="150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评标方法、步骤、标准</w:t>
      </w:r>
    </w:p>
    <w:p w14:paraId="44ACC485">
      <w:pPr>
        <w:numPr>
          <w:ilvl w:val="2"/>
          <w:numId w:val="6"/>
        </w:numPr>
        <w:tabs>
          <w:tab w:val="left" w:pos="525"/>
          <w:tab w:val="clear" w:pos="150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合同书格式</w:t>
      </w:r>
    </w:p>
    <w:p w14:paraId="398CC94E">
      <w:pPr>
        <w:numPr>
          <w:ilvl w:val="2"/>
          <w:numId w:val="6"/>
        </w:numPr>
        <w:tabs>
          <w:tab w:val="left" w:pos="525"/>
          <w:tab w:val="clear" w:pos="150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投标文件格式</w:t>
      </w:r>
    </w:p>
    <w:p w14:paraId="52615D8C">
      <w:pPr>
        <w:numPr>
          <w:ilvl w:val="2"/>
          <w:numId w:val="6"/>
        </w:numPr>
        <w:tabs>
          <w:tab w:val="left" w:pos="525"/>
          <w:tab w:val="clear" w:pos="150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图纸及工程量清单</w:t>
      </w:r>
    </w:p>
    <w:p w14:paraId="1BA98C0C">
      <w:pPr>
        <w:numPr>
          <w:ilvl w:val="3"/>
          <w:numId w:val="4"/>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招标文件的澄清</w:t>
      </w:r>
    </w:p>
    <w:p w14:paraId="0D9CDB23">
      <w:pPr>
        <w:numPr>
          <w:ilvl w:val="1"/>
          <w:numId w:val="7"/>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rPr>
        <w:t>投标人</w:t>
      </w:r>
      <w:r>
        <w:rPr>
          <w:rFonts w:hint="eastAsia" w:cs="宋体"/>
          <w:snapToGrid w:val="0"/>
          <w:szCs w:val="24"/>
          <w:highlight w:val="none"/>
          <w:lang w:val="zh-CN"/>
        </w:rPr>
        <w:t>获取招标文件后，应认真检查，如发现页数不全、附件缺失、印刷模糊等，应通知</w:t>
      </w:r>
      <w:r>
        <w:rPr>
          <w:rFonts w:hint="eastAsia" w:cs="宋体"/>
          <w:snapToGrid w:val="0"/>
          <w:szCs w:val="24"/>
          <w:highlight w:val="none"/>
        </w:rPr>
        <w:t>招标</w:t>
      </w:r>
      <w:r>
        <w:rPr>
          <w:rFonts w:hint="eastAsia" w:cs="宋体"/>
          <w:snapToGrid w:val="0"/>
          <w:szCs w:val="24"/>
          <w:highlight w:val="none"/>
          <w:lang w:val="zh-CN"/>
        </w:rPr>
        <w:t>代理机构补全或更换，否则风险自负。</w:t>
      </w:r>
    </w:p>
    <w:p w14:paraId="7BEEA79B">
      <w:pPr>
        <w:numPr>
          <w:ilvl w:val="1"/>
          <w:numId w:val="7"/>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rPr>
        <w:t>投标人</w:t>
      </w:r>
      <w:r>
        <w:rPr>
          <w:rFonts w:hint="eastAsia" w:cs="宋体"/>
          <w:snapToGrid w:val="0"/>
          <w:szCs w:val="24"/>
          <w:highlight w:val="none"/>
          <w:lang w:val="zh-CN"/>
        </w:rPr>
        <w:t>要求对本招标文件进行澄清的，均应以书面形式（包括信函、电报、传真等可以有形地表现所载内容的形式，下同）在提疑截止时间以前向</w:t>
      </w:r>
      <w:r>
        <w:rPr>
          <w:rFonts w:hint="eastAsia" w:cs="宋体"/>
          <w:snapToGrid w:val="0"/>
          <w:szCs w:val="24"/>
          <w:highlight w:val="none"/>
        </w:rPr>
        <w:t>招标</w:t>
      </w:r>
      <w:r>
        <w:rPr>
          <w:rFonts w:hint="eastAsia" w:cs="宋体"/>
          <w:snapToGrid w:val="0"/>
          <w:szCs w:val="24"/>
          <w:highlight w:val="none"/>
          <w:lang w:val="zh-CN"/>
        </w:rPr>
        <w:t>代理机构或</w:t>
      </w:r>
      <w:r>
        <w:rPr>
          <w:rFonts w:hint="eastAsia" w:cs="宋体"/>
          <w:snapToGrid w:val="0"/>
          <w:szCs w:val="24"/>
          <w:highlight w:val="none"/>
        </w:rPr>
        <w:t>招标</w:t>
      </w:r>
      <w:r>
        <w:rPr>
          <w:rFonts w:hint="eastAsia" w:cs="宋体"/>
          <w:snapToGrid w:val="0"/>
          <w:szCs w:val="24"/>
          <w:highlight w:val="none"/>
          <w:lang w:val="zh-CN"/>
        </w:rPr>
        <w:t>人提出，提疑截止时间见《</w:t>
      </w:r>
      <w:r>
        <w:rPr>
          <w:rFonts w:hint="eastAsia" w:cs="宋体"/>
          <w:snapToGrid w:val="0"/>
          <w:szCs w:val="24"/>
          <w:highlight w:val="none"/>
        </w:rPr>
        <w:t>投标人</w:t>
      </w:r>
      <w:r>
        <w:rPr>
          <w:rFonts w:hint="eastAsia" w:cs="宋体"/>
          <w:snapToGrid w:val="0"/>
          <w:szCs w:val="24"/>
          <w:highlight w:val="none"/>
          <w:lang w:val="zh-CN"/>
        </w:rPr>
        <w:t>须知前附表》。</w:t>
      </w:r>
    </w:p>
    <w:p w14:paraId="433F3F49">
      <w:pPr>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rPr>
        <w:t>招标</w:t>
      </w:r>
      <w:r>
        <w:rPr>
          <w:rFonts w:hint="eastAsia" w:cs="宋体"/>
          <w:snapToGrid w:val="0"/>
          <w:szCs w:val="24"/>
          <w:highlight w:val="none"/>
          <w:lang w:val="zh-CN"/>
        </w:rPr>
        <w:t>代理机构对于符合澄清要求的，将以书面形式给所有获取投标文件的投标人予以答复(答复中不包括问题的来源)，投标人收到答复后应在24小时内以书面形式向招标代理机构予以确认。</w:t>
      </w:r>
    </w:p>
    <w:p w14:paraId="06385DD4">
      <w:pPr>
        <w:numPr>
          <w:ilvl w:val="1"/>
          <w:numId w:val="7"/>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rPr>
        <w:t>投标人</w:t>
      </w:r>
      <w:r>
        <w:rPr>
          <w:rFonts w:hint="eastAsia" w:cs="宋体"/>
          <w:snapToGrid w:val="0"/>
          <w:szCs w:val="24"/>
          <w:highlight w:val="none"/>
          <w:lang w:val="zh-CN"/>
        </w:rPr>
        <w:t>在规定的时间内未对招标文件澄清或提出疑问的，</w:t>
      </w:r>
      <w:r>
        <w:rPr>
          <w:rFonts w:hint="eastAsia" w:cs="宋体"/>
          <w:snapToGrid w:val="0"/>
          <w:szCs w:val="24"/>
          <w:highlight w:val="none"/>
        </w:rPr>
        <w:t>招标</w:t>
      </w:r>
      <w:r>
        <w:rPr>
          <w:rFonts w:hint="eastAsia" w:cs="宋体"/>
          <w:snapToGrid w:val="0"/>
          <w:szCs w:val="24"/>
          <w:highlight w:val="none"/>
          <w:lang w:val="zh-CN"/>
        </w:rPr>
        <w:t>代理机构将视其为同意。</w:t>
      </w:r>
    </w:p>
    <w:p w14:paraId="46FDBFD3">
      <w:pPr>
        <w:numPr>
          <w:ilvl w:val="1"/>
          <w:numId w:val="7"/>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澄清的内容是本</w:t>
      </w:r>
      <w:r>
        <w:rPr>
          <w:rFonts w:hint="eastAsia" w:cs="宋体"/>
          <w:snapToGrid w:val="0"/>
          <w:szCs w:val="24"/>
          <w:highlight w:val="none"/>
        </w:rPr>
        <w:t>招标</w:t>
      </w:r>
      <w:r>
        <w:rPr>
          <w:rFonts w:hint="eastAsia" w:cs="宋体"/>
          <w:snapToGrid w:val="0"/>
          <w:szCs w:val="24"/>
          <w:highlight w:val="none"/>
          <w:lang w:val="zh-CN"/>
        </w:rPr>
        <w:t>文件的组成部分，当招标文件、澄清文件对同一内容的表述不一致时，以最后发出的书面文件为准。</w:t>
      </w:r>
    </w:p>
    <w:p w14:paraId="6078D62E">
      <w:pPr>
        <w:numPr>
          <w:ilvl w:val="3"/>
          <w:numId w:val="4"/>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招标文件的修改</w:t>
      </w:r>
    </w:p>
    <w:p w14:paraId="0A1639CB">
      <w:pPr>
        <w:numPr>
          <w:ilvl w:val="1"/>
          <w:numId w:val="8"/>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rPr>
        <w:t>招标</w:t>
      </w:r>
      <w:r>
        <w:rPr>
          <w:rFonts w:hint="eastAsia" w:cs="宋体"/>
          <w:snapToGrid w:val="0"/>
          <w:szCs w:val="24"/>
          <w:highlight w:val="none"/>
          <w:lang w:val="zh-CN"/>
        </w:rPr>
        <w:t>人、</w:t>
      </w:r>
      <w:r>
        <w:rPr>
          <w:rFonts w:hint="eastAsia" w:cs="宋体"/>
          <w:snapToGrid w:val="0"/>
          <w:szCs w:val="24"/>
          <w:highlight w:val="none"/>
        </w:rPr>
        <w:t>招标</w:t>
      </w:r>
      <w:r>
        <w:rPr>
          <w:rFonts w:hint="eastAsia" w:cs="宋体"/>
          <w:snapToGrid w:val="0"/>
          <w:szCs w:val="24"/>
          <w:highlight w:val="none"/>
          <w:lang w:val="zh-CN"/>
        </w:rPr>
        <w:t>代理机构可以对已发出的招标文件进行必要的修改。修改后的内容是招标文件的组成部分，</w:t>
      </w:r>
      <w:r>
        <w:rPr>
          <w:rFonts w:hint="eastAsia" w:cs="宋体"/>
          <w:snapToGrid w:val="0"/>
          <w:szCs w:val="24"/>
          <w:highlight w:val="none"/>
        </w:rPr>
        <w:t>招标</w:t>
      </w:r>
      <w:r>
        <w:rPr>
          <w:rFonts w:hint="eastAsia" w:cs="宋体"/>
          <w:snapToGrid w:val="0"/>
          <w:szCs w:val="24"/>
          <w:highlight w:val="none"/>
          <w:lang w:val="zh-CN"/>
        </w:rPr>
        <w:t>人或者</w:t>
      </w:r>
      <w:r>
        <w:rPr>
          <w:rFonts w:hint="eastAsia" w:cs="宋体"/>
          <w:snapToGrid w:val="0"/>
          <w:szCs w:val="24"/>
          <w:highlight w:val="none"/>
        </w:rPr>
        <w:t>招标</w:t>
      </w:r>
      <w:r>
        <w:rPr>
          <w:rFonts w:hint="eastAsia" w:cs="宋体"/>
          <w:snapToGrid w:val="0"/>
          <w:szCs w:val="24"/>
          <w:highlight w:val="none"/>
          <w:lang w:val="zh-CN"/>
        </w:rPr>
        <w:t>代理机构将以书面形式通知所有获取招标文件的潜在</w:t>
      </w:r>
      <w:r>
        <w:rPr>
          <w:rFonts w:hint="eastAsia" w:cs="宋体"/>
          <w:snapToGrid w:val="0"/>
          <w:szCs w:val="24"/>
          <w:highlight w:val="none"/>
        </w:rPr>
        <w:t>投标人</w:t>
      </w:r>
      <w:r>
        <w:rPr>
          <w:rFonts w:hint="eastAsia" w:cs="宋体"/>
          <w:snapToGrid w:val="0"/>
          <w:szCs w:val="24"/>
          <w:highlight w:val="none"/>
          <w:lang w:val="zh-CN"/>
        </w:rPr>
        <w:t>，并对其具有约束力。</w:t>
      </w:r>
      <w:r>
        <w:rPr>
          <w:rFonts w:hint="eastAsia" w:cs="宋体"/>
          <w:snapToGrid w:val="0"/>
          <w:szCs w:val="24"/>
          <w:highlight w:val="none"/>
        </w:rPr>
        <w:t>投标人</w:t>
      </w:r>
      <w:r>
        <w:rPr>
          <w:rFonts w:hint="eastAsia" w:cs="宋体"/>
          <w:snapToGrid w:val="0"/>
          <w:szCs w:val="24"/>
          <w:highlight w:val="none"/>
          <w:lang w:val="zh-CN"/>
        </w:rPr>
        <w:t>在收到上述通知后，应在24小时内以书面形式向</w:t>
      </w:r>
      <w:r>
        <w:rPr>
          <w:rFonts w:hint="eastAsia" w:cs="宋体"/>
          <w:snapToGrid w:val="0"/>
          <w:szCs w:val="24"/>
          <w:highlight w:val="none"/>
        </w:rPr>
        <w:t>招标</w:t>
      </w:r>
      <w:r>
        <w:rPr>
          <w:rFonts w:hint="eastAsia" w:cs="宋体"/>
          <w:snapToGrid w:val="0"/>
          <w:szCs w:val="24"/>
          <w:highlight w:val="none"/>
          <w:lang w:val="zh-CN"/>
        </w:rPr>
        <w:t>代理机构予以确认。</w:t>
      </w:r>
    </w:p>
    <w:p w14:paraId="7338C5AB">
      <w:pPr>
        <w:numPr>
          <w:ilvl w:val="1"/>
          <w:numId w:val="8"/>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当招标文件、修改文件对同一内容的表述不一致时，以最后发出的书面文件为准。</w:t>
      </w:r>
    </w:p>
    <w:p w14:paraId="19A58C16">
      <w:pPr>
        <w:numPr>
          <w:ilvl w:val="1"/>
          <w:numId w:val="8"/>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rPr>
        <w:t>招标</w:t>
      </w:r>
      <w:r>
        <w:rPr>
          <w:rFonts w:hint="eastAsia" w:cs="宋体"/>
          <w:snapToGrid w:val="0"/>
          <w:szCs w:val="24"/>
          <w:highlight w:val="none"/>
          <w:lang w:val="zh-CN"/>
        </w:rPr>
        <w:t>人可以视采购具体情况，延长投标截止时间和开标时间，但至少应当在招标文件要求提交投标文件的截止时间三日前，将变更时间书面通知所有获取招标文件的潜在</w:t>
      </w:r>
      <w:r>
        <w:rPr>
          <w:rFonts w:hint="eastAsia" w:cs="宋体"/>
          <w:snapToGrid w:val="0"/>
          <w:szCs w:val="24"/>
          <w:highlight w:val="none"/>
        </w:rPr>
        <w:t>投标人</w:t>
      </w:r>
      <w:r>
        <w:rPr>
          <w:rFonts w:hint="eastAsia" w:cs="宋体"/>
          <w:snapToGrid w:val="0"/>
          <w:szCs w:val="24"/>
          <w:highlight w:val="none"/>
          <w:lang w:val="zh-CN"/>
        </w:rPr>
        <w:t>，并在指定的发布媒体上发布变更公告。</w:t>
      </w:r>
    </w:p>
    <w:p w14:paraId="21DB87DF">
      <w:pPr>
        <w:widowControl w:val="0"/>
        <w:numPr>
          <w:ilvl w:val="0"/>
          <w:numId w:val="2"/>
        </w:numPr>
        <w:autoSpaceDE w:val="0"/>
        <w:autoSpaceDN w:val="0"/>
        <w:spacing w:before="67" w:line="240" w:lineRule="auto"/>
        <w:ind w:left="-420" w:firstLineChars="0"/>
        <w:jc w:val="both"/>
        <w:outlineLvl w:val="1"/>
        <w:rPr>
          <w:rFonts w:hint="eastAsia" w:cs="宋体"/>
          <w:b/>
          <w:highlight w:val="none"/>
          <w:lang w:eastAsia="en-US"/>
        </w:rPr>
      </w:pPr>
      <w:bookmarkStart w:id="16" w:name="_Toc14531"/>
      <w:bookmarkStart w:id="17" w:name="_Toc450902078"/>
      <w:r>
        <w:rPr>
          <w:rFonts w:hint="eastAsia" w:cs="宋体"/>
          <w:b/>
          <w:highlight w:val="none"/>
          <w:lang w:eastAsia="en-US"/>
        </w:rPr>
        <w:t>投标文件</w:t>
      </w:r>
      <w:bookmarkEnd w:id="16"/>
      <w:bookmarkEnd w:id="17"/>
    </w:p>
    <w:p w14:paraId="5973952B">
      <w:pPr>
        <w:numPr>
          <w:ilvl w:val="3"/>
          <w:numId w:val="9"/>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投标的语言和计量单位</w:t>
      </w:r>
    </w:p>
    <w:p w14:paraId="0A03C05E">
      <w:pPr>
        <w:numPr>
          <w:ilvl w:val="1"/>
          <w:numId w:val="10"/>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rPr>
        <w:t>投标人</w:t>
      </w:r>
      <w:r>
        <w:rPr>
          <w:rFonts w:hint="eastAsia" w:cs="宋体"/>
          <w:snapToGrid w:val="0"/>
          <w:szCs w:val="24"/>
          <w:highlight w:val="none"/>
          <w:lang w:val="zh-CN"/>
        </w:rPr>
        <w:t>提交的投标文件以及</w:t>
      </w:r>
      <w:r>
        <w:rPr>
          <w:rFonts w:hint="eastAsia" w:cs="宋体"/>
          <w:snapToGrid w:val="0"/>
          <w:szCs w:val="24"/>
          <w:highlight w:val="none"/>
        </w:rPr>
        <w:t>投标人</w:t>
      </w:r>
      <w:r>
        <w:rPr>
          <w:rFonts w:hint="eastAsia" w:cs="宋体"/>
          <w:snapToGrid w:val="0"/>
          <w:szCs w:val="24"/>
          <w:highlight w:val="none"/>
          <w:lang w:val="zh-CN"/>
        </w:rPr>
        <w:t>与</w:t>
      </w:r>
      <w:r>
        <w:rPr>
          <w:rFonts w:hint="eastAsia" w:cs="宋体"/>
          <w:snapToGrid w:val="0"/>
          <w:szCs w:val="24"/>
          <w:highlight w:val="none"/>
        </w:rPr>
        <w:t>招标</w:t>
      </w:r>
      <w:r>
        <w:rPr>
          <w:rFonts w:hint="eastAsia" w:cs="宋体"/>
          <w:snapToGrid w:val="0"/>
          <w:szCs w:val="24"/>
          <w:highlight w:val="none"/>
          <w:lang w:val="zh-CN"/>
        </w:rPr>
        <w:t>代理机构或</w:t>
      </w:r>
      <w:r>
        <w:rPr>
          <w:rFonts w:hint="eastAsia" w:cs="宋体"/>
          <w:snapToGrid w:val="0"/>
          <w:szCs w:val="24"/>
          <w:highlight w:val="none"/>
        </w:rPr>
        <w:t>招标</w:t>
      </w:r>
      <w:r>
        <w:rPr>
          <w:rFonts w:hint="eastAsia" w:cs="宋体"/>
          <w:snapToGrid w:val="0"/>
          <w:szCs w:val="24"/>
          <w:highlight w:val="none"/>
          <w:lang w:val="zh-CN"/>
        </w:rPr>
        <w:t>人就有关投标的所有来往函电均应使用中文。</w:t>
      </w:r>
      <w:r>
        <w:rPr>
          <w:rFonts w:hint="eastAsia" w:cs="宋体"/>
          <w:snapToGrid w:val="0"/>
          <w:szCs w:val="24"/>
          <w:highlight w:val="none"/>
        </w:rPr>
        <w:t>投标人</w:t>
      </w:r>
      <w:r>
        <w:rPr>
          <w:rFonts w:hint="eastAsia" w:cs="宋体"/>
          <w:snapToGrid w:val="0"/>
          <w:szCs w:val="24"/>
          <w:highlight w:val="none"/>
          <w:lang w:val="zh-CN"/>
        </w:rPr>
        <w:t>提交的支持文件或印刷的文献可以用另一种语言，但相应内容应附有中文翻译本，在解释投标文件时以中文翻译本为准。</w:t>
      </w:r>
    </w:p>
    <w:p w14:paraId="215EAAA5">
      <w:pPr>
        <w:numPr>
          <w:ilvl w:val="1"/>
          <w:numId w:val="10"/>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除非招标文件中另有规定，计量单位均采用中华人民共和国法定的计量单位。</w:t>
      </w:r>
    </w:p>
    <w:p w14:paraId="2B984476">
      <w:pPr>
        <w:numPr>
          <w:ilvl w:val="3"/>
          <w:numId w:val="9"/>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投标文件的构成</w:t>
      </w:r>
    </w:p>
    <w:p w14:paraId="775A4784">
      <w:pPr>
        <w:numPr>
          <w:ilvl w:val="1"/>
          <w:numId w:val="11"/>
        </w:numPr>
        <w:tabs>
          <w:tab w:val="left" w:pos="525"/>
          <w:tab w:val="clear" w:pos="360"/>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rPr>
        <w:t>投标人</w:t>
      </w:r>
      <w:r>
        <w:rPr>
          <w:rFonts w:hint="eastAsia" w:cs="宋体"/>
          <w:snapToGrid w:val="0"/>
          <w:szCs w:val="24"/>
          <w:highlight w:val="none"/>
          <w:lang w:val="zh-CN"/>
        </w:rPr>
        <w:t>编制的投标文件应包括但不少于下列内容：</w:t>
      </w:r>
    </w:p>
    <w:p w14:paraId="5AAFE2B3">
      <w:pPr>
        <w:autoSpaceDE w:val="0"/>
        <w:autoSpaceDN w:val="0"/>
        <w:adjustRightInd w:val="0"/>
        <w:ind w:firstLine="480"/>
        <w:rPr>
          <w:rFonts w:hint="eastAsia" w:cs="宋体"/>
          <w:snapToGrid w:val="0"/>
          <w:szCs w:val="24"/>
          <w:highlight w:val="none"/>
          <w:lang w:val="zh-CN"/>
        </w:rPr>
      </w:pPr>
      <w:r>
        <w:rPr>
          <w:rFonts w:hint="eastAsia" w:cs="宋体"/>
          <w:szCs w:val="24"/>
          <w:highlight w:val="none"/>
        </w:rPr>
        <w:t>价格部分：</w:t>
      </w:r>
    </w:p>
    <w:p w14:paraId="33AB500B">
      <w:pPr>
        <w:numPr>
          <w:ilvl w:val="2"/>
          <w:numId w:val="12"/>
        </w:numPr>
        <w:tabs>
          <w:tab w:val="left" w:pos="360"/>
          <w:tab w:val="clear" w:pos="1500"/>
        </w:tabs>
        <w:autoSpaceDE w:val="0"/>
        <w:autoSpaceDN w:val="0"/>
        <w:adjustRightInd w:val="0"/>
        <w:ind w:left="360" w:firstLine="480"/>
        <w:rPr>
          <w:rFonts w:hint="eastAsia" w:cs="宋体"/>
          <w:snapToGrid w:val="0"/>
          <w:szCs w:val="24"/>
          <w:highlight w:val="none"/>
          <w:lang w:val="zh-CN"/>
        </w:rPr>
      </w:pPr>
      <w:r>
        <w:rPr>
          <w:rFonts w:hint="eastAsia" w:cs="宋体"/>
          <w:snapToGrid w:val="0"/>
          <w:szCs w:val="24"/>
          <w:highlight w:val="none"/>
          <w:lang w:val="zh-CN"/>
        </w:rPr>
        <w:t>投标函；</w:t>
      </w:r>
    </w:p>
    <w:p w14:paraId="6EAB7640">
      <w:pPr>
        <w:numPr>
          <w:ilvl w:val="2"/>
          <w:numId w:val="12"/>
        </w:numPr>
        <w:tabs>
          <w:tab w:val="left" w:pos="360"/>
          <w:tab w:val="clear" w:pos="1500"/>
        </w:tabs>
        <w:autoSpaceDE w:val="0"/>
        <w:autoSpaceDN w:val="0"/>
        <w:adjustRightInd w:val="0"/>
        <w:ind w:left="360" w:firstLine="480"/>
        <w:rPr>
          <w:rFonts w:hint="eastAsia" w:cs="宋体"/>
          <w:snapToGrid w:val="0"/>
          <w:szCs w:val="24"/>
          <w:highlight w:val="none"/>
          <w:lang w:val="zh-CN"/>
        </w:rPr>
      </w:pPr>
      <w:r>
        <w:rPr>
          <w:rFonts w:hint="eastAsia" w:cs="宋体"/>
          <w:snapToGrid w:val="0"/>
          <w:szCs w:val="24"/>
          <w:highlight w:val="none"/>
          <w:lang w:val="zh-CN"/>
        </w:rPr>
        <w:t>开标一览表；</w:t>
      </w:r>
    </w:p>
    <w:p w14:paraId="6F284281">
      <w:pPr>
        <w:numPr>
          <w:ilvl w:val="2"/>
          <w:numId w:val="12"/>
        </w:numPr>
        <w:tabs>
          <w:tab w:val="left" w:pos="360"/>
          <w:tab w:val="clear" w:pos="1500"/>
        </w:tabs>
        <w:autoSpaceDE w:val="0"/>
        <w:autoSpaceDN w:val="0"/>
        <w:adjustRightInd w:val="0"/>
        <w:ind w:left="360" w:firstLine="480"/>
        <w:rPr>
          <w:rFonts w:hint="eastAsia" w:cs="宋体"/>
          <w:snapToGrid w:val="0"/>
          <w:szCs w:val="24"/>
          <w:highlight w:val="none"/>
          <w:lang w:val="zh-CN"/>
        </w:rPr>
      </w:pPr>
      <w:r>
        <w:rPr>
          <w:rFonts w:hint="eastAsia" w:cs="宋体"/>
          <w:snapToGrid w:val="0"/>
          <w:szCs w:val="24"/>
          <w:highlight w:val="none"/>
          <w:lang w:val="zh-CN"/>
        </w:rPr>
        <w:t>工程量清单报价；</w:t>
      </w:r>
    </w:p>
    <w:p w14:paraId="038DEB2E">
      <w:pPr>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商务部分：</w:t>
      </w:r>
    </w:p>
    <w:p w14:paraId="22BCB149">
      <w:pPr>
        <w:numPr>
          <w:ilvl w:val="2"/>
          <w:numId w:val="12"/>
        </w:numPr>
        <w:tabs>
          <w:tab w:val="left" w:pos="360"/>
          <w:tab w:val="clear" w:pos="1500"/>
        </w:tabs>
        <w:autoSpaceDE w:val="0"/>
        <w:autoSpaceDN w:val="0"/>
        <w:adjustRightInd w:val="0"/>
        <w:ind w:left="360" w:firstLine="480"/>
        <w:rPr>
          <w:rFonts w:hint="eastAsia" w:cs="宋体"/>
          <w:snapToGrid w:val="0"/>
          <w:szCs w:val="24"/>
          <w:highlight w:val="none"/>
          <w:lang w:val="zh-CN"/>
        </w:rPr>
      </w:pPr>
      <w:r>
        <w:rPr>
          <w:rFonts w:hint="eastAsia" w:cs="宋体"/>
          <w:snapToGrid w:val="0"/>
          <w:szCs w:val="24"/>
          <w:highlight w:val="none"/>
          <w:lang w:val="zh-CN"/>
        </w:rPr>
        <w:t>法定代表人授权书（或</w:t>
      </w:r>
      <w:r>
        <w:rPr>
          <w:rFonts w:hint="eastAsia" w:cs="宋体"/>
          <w:szCs w:val="24"/>
          <w:highlight w:val="none"/>
        </w:rPr>
        <w:t>法定代表人身份证明书）</w:t>
      </w:r>
      <w:r>
        <w:rPr>
          <w:rFonts w:hint="eastAsia" w:cs="宋体"/>
          <w:snapToGrid w:val="0"/>
          <w:szCs w:val="24"/>
          <w:highlight w:val="none"/>
          <w:lang w:val="zh-CN"/>
        </w:rPr>
        <w:t>；</w:t>
      </w:r>
    </w:p>
    <w:p w14:paraId="7C363B6D">
      <w:pPr>
        <w:numPr>
          <w:ilvl w:val="2"/>
          <w:numId w:val="12"/>
        </w:numPr>
        <w:tabs>
          <w:tab w:val="left" w:pos="360"/>
          <w:tab w:val="clear" w:pos="1500"/>
        </w:tabs>
        <w:autoSpaceDE w:val="0"/>
        <w:autoSpaceDN w:val="0"/>
        <w:adjustRightInd w:val="0"/>
        <w:ind w:left="360" w:firstLine="480"/>
        <w:rPr>
          <w:rFonts w:hint="eastAsia" w:cs="宋体"/>
          <w:snapToGrid w:val="0"/>
          <w:szCs w:val="24"/>
          <w:highlight w:val="none"/>
          <w:lang w:val="zh-CN"/>
        </w:rPr>
      </w:pPr>
      <w:r>
        <w:rPr>
          <w:rFonts w:hint="eastAsia" w:cs="宋体"/>
          <w:snapToGrid w:val="0"/>
          <w:szCs w:val="24"/>
          <w:highlight w:val="none"/>
          <w:lang w:val="zh-CN"/>
        </w:rPr>
        <w:t>营业执照、与本次招标有关的资格证明文件；</w:t>
      </w:r>
    </w:p>
    <w:p w14:paraId="28AC8B2D">
      <w:pPr>
        <w:numPr>
          <w:ilvl w:val="2"/>
          <w:numId w:val="12"/>
        </w:numPr>
        <w:tabs>
          <w:tab w:val="left" w:pos="360"/>
          <w:tab w:val="clear" w:pos="1500"/>
        </w:tabs>
        <w:autoSpaceDE w:val="0"/>
        <w:autoSpaceDN w:val="0"/>
        <w:adjustRightInd w:val="0"/>
        <w:ind w:left="360" w:firstLine="480"/>
        <w:rPr>
          <w:rFonts w:hint="eastAsia" w:cs="宋体"/>
          <w:snapToGrid w:val="0"/>
          <w:szCs w:val="24"/>
          <w:highlight w:val="none"/>
          <w:lang w:val="zh-CN"/>
        </w:rPr>
      </w:pPr>
      <w:r>
        <w:rPr>
          <w:rFonts w:hint="eastAsia" w:cs="宋体"/>
          <w:snapToGrid w:val="0"/>
          <w:szCs w:val="24"/>
          <w:highlight w:val="none"/>
          <w:lang w:val="zh-CN"/>
        </w:rPr>
        <w:t>招标文件中要求提供的其他资料，见《</w:t>
      </w:r>
      <w:r>
        <w:rPr>
          <w:rFonts w:hint="eastAsia" w:cs="宋体"/>
          <w:snapToGrid w:val="0"/>
          <w:szCs w:val="24"/>
          <w:highlight w:val="none"/>
        </w:rPr>
        <w:t>投标人</w:t>
      </w:r>
      <w:r>
        <w:rPr>
          <w:rFonts w:hint="eastAsia" w:cs="宋体"/>
          <w:snapToGrid w:val="0"/>
          <w:szCs w:val="24"/>
          <w:highlight w:val="none"/>
          <w:lang w:val="zh-CN"/>
        </w:rPr>
        <w:t>须知前附表》。</w:t>
      </w:r>
    </w:p>
    <w:p w14:paraId="3AFC85F5">
      <w:pPr>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技术部分</w:t>
      </w:r>
    </w:p>
    <w:p w14:paraId="26A211BB">
      <w:pPr>
        <w:numPr>
          <w:ilvl w:val="2"/>
          <w:numId w:val="12"/>
        </w:numPr>
        <w:tabs>
          <w:tab w:val="left" w:pos="360"/>
          <w:tab w:val="clear" w:pos="1500"/>
        </w:tabs>
        <w:autoSpaceDE w:val="0"/>
        <w:autoSpaceDN w:val="0"/>
        <w:adjustRightInd w:val="0"/>
        <w:ind w:left="360" w:firstLine="480"/>
        <w:rPr>
          <w:rFonts w:hint="eastAsia" w:cs="宋体"/>
          <w:snapToGrid w:val="0"/>
          <w:szCs w:val="24"/>
          <w:highlight w:val="none"/>
          <w:lang w:val="zh-CN"/>
        </w:rPr>
      </w:pPr>
      <w:r>
        <w:rPr>
          <w:rFonts w:hint="eastAsia" w:cs="宋体"/>
          <w:snapToGrid w:val="0"/>
          <w:szCs w:val="24"/>
          <w:highlight w:val="none"/>
          <w:lang w:val="zh-CN"/>
        </w:rPr>
        <w:t>与本次招标有关的技术文件。</w:t>
      </w:r>
    </w:p>
    <w:p w14:paraId="7A6BFF2C">
      <w:pPr>
        <w:numPr>
          <w:ilvl w:val="3"/>
          <w:numId w:val="9"/>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投标文件编制</w:t>
      </w:r>
    </w:p>
    <w:p w14:paraId="2FE45C9B">
      <w:pPr>
        <w:numPr>
          <w:ilvl w:val="1"/>
          <w:numId w:val="13"/>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rPr>
        <w:t>投标人</w:t>
      </w:r>
      <w:r>
        <w:rPr>
          <w:rFonts w:hint="eastAsia" w:cs="宋体"/>
          <w:snapToGrid w:val="0"/>
          <w:szCs w:val="24"/>
          <w:highlight w:val="none"/>
          <w:lang w:val="zh-CN"/>
        </w:rPr>
        <w:t>应当按照本招标文件的要求编制投标文件，并对其提交的投标文件及全部资料的真实性、合法性承担法律责任，并接受</w:t>
      </w:r>
      <w:r>
        <w:rPr>
          <w:rFonts w:hint="eastAsia" w:cs="宋体"/>
          <w:snapToGrid w:val="0"/>
          <w:szCs w:val="24"/>
          <w:highlight w:val="none"/>
        </w:rPr>
        <w:t>招标</w:t>
      </w:r>
      <w:r>
        <w:rPr>
          <w:rFonts w:hint="eastAsia" w:cs="宋体"/>
          <w:snapToGrid w:val="0"/>
          <w:szCs w:val="24"/>
          <w:highlight w:val="none"/>
          <w:lang w:val="zh-CN"/>
        </w:rPr>
        <w:t>代理机构对其中任何资料进一步核实的要求。</w:t>
      </w:r>
    </w:p>
    <w:p w14:paraId="681B6FB0">
      <w:pPr>
        <w:numPr>
          <w:ilvl w:val="1"/>
          <w:numId w:val="13"/>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投标人应认真阅读招标文件中所有内容，并</w:t>
      </w:r>
      <w:r>
        <w:rPr>
          <w:rFonts w:hint="eastAsia" w:cs="宋体"/>
          <w:szCs w:val="24"/>
          <w:highlight w:val="none"/>
        </w:rPr>
        <w:t>对本招标文件提出的要求和条件作出实质性响应。</w:t>
      </w:r>
      <w:r>
        <w:rPr>
          <w:rFonts w:hint="eastAsia" w:cs="宋体"/>
          <w:snapToGrid w:val="0"/>
          <w:szCs w:val="24"/>
          <w:highlight w:val="none"/>
          <w:lang w:val="zh-CN"/>
        </w:rPr>
        <w:t>如投标人没有按照招标文件的要求提交全部资料，或者投标文件没有对本招标文件在各方面都做出实质性响应的，其投标将被视为无效投标。</w:t>
      </w:r>
    </w:p>
    <w:p w14:paraId="2C5F95BD">
      <w:pPr>
        <w:numPr>
          <w:ilvl w:val="1"/>
          <w:numId w:val="13"/>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投标人应完整地按本招标文件的要求提交所有资料并按要求的格式填写规定的所有内容。如未规定格式的，相关格式由投标人自定。</w:t>
      </w:r>
    </w:p>
    <w:p w14:paraId="0B7B687C">
      <w:pPr>
        <w:numPr>
          <w:ilvl w:val="1"/>
          <w:numId w:val="13"/>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投标人在编制投标文件时应注意本次招标对多包投标的规定，规定见《投标人须知前附表》，无相应内容可填项的，应填写“无”、“未测试”、“没有相应指标”等明确的回答文字。</w:t>
      </w:r>
    </w:p>
    <w:p w14:paraId="38365852">
      <w:pPr>
        <w:numPr>
          <w:ilvl w:val="1"/>
          <w:numId w:val="13"/>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投标人投标文件应按投标文件格式要求盖单位章和（或）签字的地方盖章和（或） 签字。</w:t>
      </w:r>
    </w:p>
    <w:p w14:paraId="36761954">
      <w:pPr>
        <w:numPr>
          <w:ilvl w:val="3"/>
          <w:numId w:val="9"/>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投标报价</w:t>
      </w:r>
    </w:p>
    <w:p w14:paraId="61820DF5">
      <w:pPr>
        <w:numPr>
          <w:ilvl w:val="1"/>
          <w:numId w:val="14"/>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投标人的报价均应以人民币进行报价。</w:t>
      </w:r>
    </w:p>
    <w:p w14:paraId="1E47AD6B">
      <w:pPr>
        <w:numPr>
          <w:ilvl w:val="1"/>
          <w:numId w:val="14"/>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人应按照本招标文件规定的采购需求及合同条款进行报价，并按招标文件确定的格式报出。投标总价中不得包含招标文件要求以外的内容，否则，在评标时不予核减。投标总价中也不得缺漏招标文件所要求的内容，否则，其投标将被视为无效投标。</w:t>
      </w:r>
    </w:p>
    <w:p w14:paraId="7BAE0974">
      <w:pPr>
        <w:numPr>
          <w:ilvl w:val="1"/>
          <w:numId w:val="14"/>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人应根据本招标文件的规定和要求、市场价格水平及其走势、投标人的管理水平、投标人的方案和由这些因素决定的投标人之于本项目的成本水平等提出自己的报价。报价应包含完成本招标文件采购需求全部内容的所有费用，所有根据本招标文件或其它原因应由投标人支付的税款和其他应交纳的费用都应包括在投标人提交的投标报价中。但投标人不得以低于其成本的价格进行报价。</w:t>
      </w:r>
    </w:p>
    <w:p w14:paraId="7287BCB9">
      <w:pPr>
        <w:numPr>
          <w:ilvl w:val="1"/>
          <w:numId w:val="14"/>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投标人在投标文件中注明免费的项目将视为包含在投标总价中。</w:t>
      </w:r>
    </w:p>
    <w:p w14:paraId="25A882F6">
      <w:pPr>
        <w:numPr>
          <w:ilvl w:val="1"/>
          <w:numId w:val="14"/>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每一种采购内容只允许有一个报价，否则其投标将被视为无效投标。</w:t>
      </w:r>
    </w:p>
    <w:p w14:paraId="7CBAE1CB">
      <w:pPr>
        <w:numPr>
          <w:ilvl w:val="1"/>
          <w:numId w:val="14"/>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投标人所报的投标价在合同执行过程中是固定不变的，不得以任何理由予以变更。</w:t>
      </w:r>
    </w:p>
    <w:p w14:paraId="5248F41A">
      <w:pPr>
        <w:numPr>
          <w:ilvl w:val="3"/>
          <w:numId w:val="9"/>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备选方案</w:t>
      </w:r>
    </w:p>
    <w:p w14:paraId="50CD3DD6">
      <w:pPr>
        <w:tabs>
          <w:tab w:val="left" w:pos="525"/>
        </w:tabs>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除投标人须知前附表另有规定外，投标人不得递交备选投标方案。</w:t>
      </w:r>
    </w:p>
    <w:p w14:paraId="7A82F093">
      <w:pPr>
        <w:numPr>
          <w:ilvl w:val="3"/>
          <w:numId w:val="9"/>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联合体投标</w:t>
      </w:r>
    </w:p>
    <w:p w14:paraId="5BCF9D72">
      <w:pPr>
        <w:tabs>
          <w:tab w:val="left" w:pos="525"/>
        </w:tabs>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本次招标是否允许联合体投标见《投标人须知前附表》。允许联合体投标的，联合体投标应满足的要求详见《投标人须知前附表》。</w:t>
      </w:r>
    </w:p>
    <w:p w14:paraId="72F9FD3C">
      <w:pPr>
        <w:numPr>
          <w:ilvl w:val="3"/>
          <w:numId w:val="9"/>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投标有效期</w:t>
      </w:r>
    </w:p>
    <w:p w14:paraId="3AC75C46">
      <w:pPr>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rPr>
        <w:t xml:space="preserve">7.1 </w:t>
      </w:r>
      <w:r>
        <w:rPr>
          <w:rFonts w:hint="eastAsia" w:cs="宋体"/>
          <w:snapToGrid w:val="0"/>
          <w:szCs w:val="24"/>
          <w:highlight w:val="none"/>
          <w:lang w:val="zh-CN"/>
        </w:rPr>
        <w:t>投标有效期从递交投标文件的截止之日起计算，本次招标投标有效期见《投标人须知前附表》，投标人承诺的投标有效期不足的，其投标将被视为无效投标。</w:t>
      </w:r>
    </w:p>
    <w:p w14:paraId="3AABDBC7">
      <w:pPr>
        <w:tabs>
          <w:tab w:val="left" w:pos="525"/>
        </w:tabs>
        <w:autoSpaceDE w:val="0"/>
        <w:autoSpaceDN w:val="0"/>
        <w:adjustRightInd w:val="0"/>
        <w:ind w:firstLine="480"/>
        <w:rPr>
          <w:rFonts w:hint="eastAsia"/>
          <w:highlight w:val="none"/>
          <w:lang w:val="zh-CN"/>
        </w:rPr>
      </w:pPr>
      <w:r>
        <w:rPr>
          <w:rFonts w:hint="eastAsia" w:cs="宋体"/>
          <w:snapToGrid w:val="0"/>
          <w:szCs w:val="24"/>
          <w:highlight w:val="none"/>
        </w:rPr>
        <w:t xml:space="preserve">7.2 </w:t>
      </w:r>
      <w:r>
        <w:rPr>
          <w:rFonts w:hint="eastAsia" w:cs="宋体"/>
          <w:snapToGrid w:val="0"/>
          <w:szCs w:val="24"/>
          <w:highlight w:val="none"/>
          <w:lang w:val="zh-CN"/>
        </w:rPr>
        <w:t>特殊情况下，在原投标有效期截止之前，招标代理机构或招标人可要求投标人延长投标有效期。需要延长投标有效期时，招标人及招标代理机构将以书面形式通知所有获取招标文件的投标人，投标人应以书面形式答复是否同意延长投标有效期。投标人同意延长的，其投标保证金的有效期相应延长，但不得要求或被允许修改或撤销其投标文件；投标人拒绝延长的，其投标在原投标有效期满后将不再有效，投标人有权收回其投标保证金。</w:t>
      </w:r>
    </w:p>
    <w:p w14:paraId="298B90D0">
      <w:pPr>
        <w:widowControl w:val="0"/>
        <w:numPr>
          <w:ilvl w:val="0"/>
          <w:numId w:val="2"/>
        </w:numPr>
        <w:autoSpaceDE w:val="0"/>
        <w:autoSpaceDN w:val="0"/>
        <w:spacing w:before="67" w:line="240" w:lineRule="auto"/>
        <w:ind w:left="-420" w:firstLineChars="0"/>
        <w:jc w:val="both"/>
        <w:outlineLvl w:val="1"/>
        <w:rPr>
          <w:rFonts w:hint="eastAsia" w:cs="宋体"/>
          <w:b/>
          <w:highlight w:val="none"/>
          <w:lang w:eastAsia="en-US"/>
        </w:rPr>
      </w:pPr>
      <w:bookmarkStart w:id="18" w:name="_Toc450902079"/>
      <w:bookmarkStart w:id="19" w:name="_Toc28985"/>
      <w:r>
        <w:rPr>
          <w:rFonts w:hint="eastAsia" w:cs="宋体"/>
          <w:b/>
          <w:highlight w:val="none"/>
          <w:lang w:eastAsia="en-US"/>
        </w:rPr>
        <w:t>投标文件的递交</w:t>
      </w:r>
      <w:bookmarkEnd w:id="18"/>
      <w:bookmarkEnd w:id="19"/>
    </w:p>
    <w:p w14:paraId="0806A41E">
      <w:pPr>
        <w:numPr>
          <w:ilvl w:val="3"/>
          <w:numId w:val="15"/>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投标文件的密封和标记</w:t>
      </w:r>
    </w:p>
    <w:p w14:paraId="48D1732B">
      <w:pPr>
        <w:tabs>
          <w:tab w:val="left" w:pos="525"/>
        </w:tabs>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1.1</w:t>
      </w:r>
      <w:r>
        <w:rPr>
          <w:rFonts w:hint="eastAsia" w:cs="宋体"/>
          <w:snapToGrid w:val="0"/>
          <w:szCs w:val="24"/>
          <w:highlight w:val="none"/>
        </w:rPr>
        <w:t xml:space="preserve"> </w:t>
      </w:r>
      <w:r>
        <w:rPr>
          <w:rFonts w:hint="eastAsia" w:cs="宋体"/>
          <w:snapToGrid w:val="0"/>
          <w:szCs w:val="24"/>
          <w:highlight w:val="none"/>
          <w:lang w:val="zh-CN"/>
        </w:rPr>
        <w:t>所提供电子文件为加密文件，未按要求加密的投标文件为无效文件，招标人、招标代理机构将拒收。</w:t>
      </w:r>
    </w:p>
    <w:p w14:paraId="6176485A">
      <w:pPr>
        <w:tabs>
          <w:tab w:val="left" w:pos="525"/>
        </w:tabs>
        <w:autoSpaceDE w:val="0"/>
        <w:autoSpaceDN w:val="0"/>
        <w:adjustRightInd w:val="0"/>
        <w:ind w:firstLine="480"/>
        <w:rPr>
          <w:rFonts w:hint="eastAsia" w:cs="宋体"/>
          <w:b/>
          <w:snapToGrid w:val="0"/>
          <w:szCs w:val="24"/>
          <w:highlight w:val="none"/>
          <w:lang w:val="zh-CN"/>
        </w:rPr>
      </w:pPr>
      <w:r>
        <w:rPr>
          <w:rFonts w:hint="eastAsia" w:cs="宋体"/>
          <w:snapToGrid w:val="0"/>
          <w:szCs w:val="24"/>
          <w:highlight w:val="none"/>
          <w:lang w:val="zh-CN"/>
        </w:rPr>
        <w:t>1.2</w:t>
      </w:r>
      <w:r>
        <w:rPr>
          <w:rFonts w:hint="eastAsia" w:cs="宋体"/>
          <w:snapToGrid w:val="0"/>
          <w:szCs w:val="24"/>
          <w:highlight w:val="none"/>
        </w:rPr>
        <w:t xml:space="preserve"> </w:t>
      </w:r>
      <w:r>
        <w:rPr>
          <w:rFonts w:hint="eastAsia" w:cs="宋体"/>
          <w:snapToGrid w:val="0"/>
          <w:szCs w:val="24"/>
          <w:highlight w:val="none"/>
          <w:lang w:val="zh-CN"/>
        </w:rPr>
        <w:t>投标人按上述规定进行加密后，将电子投标文件按照招标文件的要求发送至指定邮箱。</w:t>
      </w:r>
    </w:p>
    <w:p w14:paraId="71711C01">
      <w:pPr>
        <w:numPr>
          <w:ilvl w:val="3"/>
          <w:numId w:val="15"/>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投标文件送达地点及投标截止时间</w:t>
      </w:r>
    </w:p>
    <w:p w14:paraId="0497F6F7">
      <w:pPr>
        <w:tabs>
          <w:tab w:val="left" w:pos="525"/>
        </w:tabs>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投标截止时间是招标文件中规定的送达、提交投标文件的最后时间，在截止时间后提交的投标文件，招标人、招标代理机构将拒收。本次招标的投标文件送达地点及投标截止时间见《投标人须知前附表》。</w:t>
      </w:r>
    </w:p>
    <w:p w14:paraId="26B40EA7">
      <w:pPr>
        <w:numPr>
          <w:ilvl w:val="3"/>
          <w:numId w:val="15"/>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投标文件的修改和撤回</w:t>
      </w:r>
    </w:p>
    <w:p w14:paraId="6F7053BD">
      <w:pPr>
        <w:ind w:firstLine="480"/>
        <w:rPr>
          <w:rFonts w:hint="eastAsia" w:cs="宋体"/>
          <w:snapToGrid w:val="0"/>
          <w:szCs w:val="24"/>
          <w:highlight w:val="none"/>
          <w:lang w:val="zh-CN"/>
        </w:rPr>
      </w:pPr>
      <w:r>
        <w:rPr>
          <w:rFonts w:hint="eastAsia" w:cs="宋体"/>
          <w:snapToGrid w:val="0"/>
          <w:szCs w:val="24"/>
          <w:highlight w:val="none"/>
          <w:lang w:val="zh-CN"/>
        </w:rPr>
        <w:t>3.1投标人在投标人须知前附表中规定的投标截止时间前，可以书面形式补充、修改或者撤回已提交的投标文件。补充、修改的内容作为投标文件的组成部分，应当按本招标文件的规定进行编制、密封、标志（在邮件上标明“修改”或“撤回”字样，并注明修改或撤回的时间）、送达、签收和保管。</w:t>
      </w:r>
    </w:p>
    <w:p w14:paraId="033ED79F">
      <w:pPr>
        <w:ind w:firstLine="480"/>
        <w:rPr>
          <w:rFonts w:hint="eastAsia"/>
          <w:highlight w:val="none"/>
          <w:lang w:val="zh-CN"/>
        </w:rPr>
      </w:pPr>
      <w:r>
        <w:rPr>
          <w:rFonts w:hint="eastAsia" w:cs="宋体"/>
          <w:snapToGrid w:val="0"/>
          <w:szCs w:val="24"/>
          <w:highlight w:val="none"/>
          <w:lang w:val="zh-CN"/>
        </w:rPr>
        <w:t>3.2在投标截止时间之后，投标人不得补充、修改投标文件。</w:t>
      </w:r>
    </w:p>
    <w:p w14:paraId="1B93DC57">
      <w:pPr>
        <w:widowControl w:val="0"/>
        <w:numPr>
          <w:ilvl w:val="0"/>
          <w:numId w:val="2"/>
        </w:numPr>
        <w:autoSpaceDE w:val="0"/>
        <w:autoSpaceDN w:val="0"/>
        <w:spacing w:before="67" w:line="240" w:lineRule="auto"/>
        <w:ind w:left="-420" w:firstLineChars="0"/>
        <w:jc w:val="both"/>
        <w:outlineLvl w:val="1"/>
        <w:rPr>
          <w:rFonts w:hint="eastAsia" w:cs="宋体"/>
          <w:b/>
          <w:highlight w:val="none"/>
          <w:lang w:eastAsia="en-US"/>
        </w:rPr>
      </w:pPr>
      <w:bookmarkStart w:id="20" w:name="_Toc450902080"/>
      <w:bookmarkStart w:id="21" w:name="_Toc14179"/>
      <w:r>
        <w:rPr>
          <w:rFonts w:hint="eastAsia" w:cs="宋体"/>
          <w:b/>
          <w:highlight w:val="none"/>
          <w:lang w:eastAsia="en-US"/>
        </w:rPr>
        <w:t>开标与评标</w:t>
      </w:r>
      <w:bookmarkEnd w:id="20"/>
      <w:bookmarkEnd w:id="21"/>
    </w:p>
    <w:p w14:paraId="752B57CD">
      <w:pPr>
        <w:numPr>
          <w:ilvl w:val="3"/>
          <w:numId w:val="16"/>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开标</w:t>
      </w:r>
    </w:p>
    <w:p w14:paraId="5FF9C2FB">
      <w:pPr>
        <w:spacing w:line="520" w:lineRule="exact"/>
        <w:ind w:firstLine="559" w:firstLineChars="233"/>
        <w:rPr>
          <w:bCs/>
          <w:highlight w:val="none"/>
        </w:rPr>
      </w:pPr>
      <w:r>
        <w:rPr>
          <w:rFonts w:hint="eastAsia"/>
          <w:bCs/>
          <w:highlight w:val="none"/>
        </w:rPr>
        <w:t>开标会由招标人或招标代理机构主持，投标人在开标规定时间前半小时进入腾讯会议会议室，并将称呼改为“XX公司+姓名”后参与本次视频开标。代理机构在开标前 15 分钟，另组建本次开标会微信群，每家投标人的法人授权委托代表“公司名称+姓名”实名进入。具体流程如下：</w:t>
      </w:r>
    </w:p>
    <w:p w14:paraId="1A968793">
      <w:pPr>
        <w:numPr>
          <w:ilvl w:val="0"/>
          <w:numId w:val="17"/>
        </w:numPr>
        <w:spacing w:line="520" w:lineRule="exact"/>
        <w:ind w:firstLine="559" w:firstLineChars="233"/>
        <w:rPr>
          <w:rFonts w:hint="eastAsia"/>
          <w:bCs/>
          <w:highlight w:val="none"/>
        </w:rPr>
      </w:pPr>
      <w:r>
        <w:rPr>
          <w:rFonts w:hint="eastAsia"/>
          <w:bCs/>
          <w:highlight w:val="none"/>
        </w:rPr>
        <w:t>将开标倒计时投屏至会议界面；</w:t>
      </w:r>
    </w:p>
    <w:p w14:paraId="0C1A72BE">
      <w:pPr>
        <w:spacing w:line="520" w:lineRule="exact"/>
        <w:ind w:firstLine="480"/>
        <w:rPr>
          <w:bCs/>
          <w:highlight w:val="none"/>
        </w:rPr>
      </w:pPr>
      <w:r>
        <w:rPr>
          <w:rFonts w:hint="eastAsia"/>
          <w:bCs/>
          <w:highlight w:val="none"/>
        </w:rPr>
        <w:t>2.投标人单位进入“腾讯会议”系统前将名片改为投标人单位名称+代表人姓名（实名）。代理公司于现场另建微信群，在“腾讯会议”系统里将微信群二维码公布，每一个投标单位允许授权代表进入微信群并修改群名片（同腾讯会议）；</w:t>
      </w:r>
    </w:p>
    <w:p w14:paraId="1F53FE60">
      <w:pPr>
        <w:spacing w:line="520" w:lineRule="exact"/>
        <w:ind w:firstLine="559" w:firstLineChars="233"/>
        <w:rPr>
          <w:bCs/>
          <w:highlight w:val="none"/>
        </w:rPr>
      </w:pPr>
      <w:r>
        <w:rPr>
          <w:rFonts w:hint="eastAsia"/>
          <w:bCs/>
          <w:highlight w:val="none"/>
        </w:rPr>
        <w:t xml:space="preserve">3.宣布本次开标会开始，强调会议纪律及要求。除主持人和联合主持人会议麦克风打开外，其他参会人员麦克风保持静音，需发言时自行打开； </w:t>
      </w:r>
    </w:p>
    <w:p w14:paraId="076E4C5F">
      <w:pPr>
        <w:spacing w:line="520" w:lineRule="exact"/>
        <w:ind w:firstLine="559" w:firstLineChars="233"/>
        <w:rPr>
          <w:bCs/>
          <w:highlight w:val="none"/>
        </w:rPr>
      </w:pPr>
      <w:r>
        <w:rPr>
          <w:rFonts w:hint="eastAsia"/>
          <w:bCs/>
          <w:highlight w:val="none"/>
        </w:rPr>
        <w:t>4.确认本次开标会有效投标人。将代理机构邮箱打开并投屏至会议界面， 根据文件递交截止时间确认有效投标人；</w:t>
      </w:r>
    </w:p>
    <w:p w14:paraId="4115072E">
      <w:pPr>
        <w:spacing w:line="520" w:lineRule="exact"/>
        <w:ind w:firstLine="559" w:firstLineChars="233"/>
        <w:rPr>
          <w:bCs/>
          <w:highlight w:val="none"/>
        </w:rPr>
      </w:pPr>
      <w:r>
        <w:rPr>
          <w:bCs/>
          <w:highlight w:val="none"/>
        </w:rPr>
        <w:t>5</w:t>
      </w:r>
      <w:r>
        <w:rPr>
          <w:rFonts w:hint="eastAsia"/>
          <w:bCs/>
          <w:highlight w:val="none"/>
        </w:rPr>
        <w:t>.下载投标文件。根据邮箱中邮件递交时间顺序，依次下载投标人投标文件。下载过程全程投屏至会议界面。在此过程中，投标人代表应对下载其投标文件的数量通过微信群确认并告之解密密码。代理机构在本地电脑上新建该项目投标文件夹，再在这个文件夹内建立每家投标人子文件夹，将投标文件下载至此，将投标人代表告之的解密密码标注在对应的投标文件名上；</w:t>
      </w:r>
    </w:p>
    <w:p w14:paraId="5F20BE50">
      <w:pPr>
        <w:spacing w:line="520" w:lineRule="exact"/>
        <w:ind w:firstLine="559" w:firstLineChars="233"/>
        <w:rPr>
          <w:bCs/>
          <w:highlight w:val="none"/>
        </w:rPr>
      </w:pPr>
      <w:r>
        <w:rPr>
          <w:bCs/>
          <w:highlight w:val="none"/>
        </w:rPr>
        <w:t>6.</w:t>
      </w:r>
      <w:r>
        <w:rPr>
          <w:rFonts w:hint="eastAsia"/>
          <w:bCs/>
          <w:highlight w:val="none"/>
        </w:rPr>
        <w:t>验证投标人身份。代理机构按顺序逐个打开投标人单位的投标文件，将投标人法人授权委托书页投屏至会议界面，同时对应的投标人代表打开摄像头，左手持本人身份证至头部的左下方，代理机构截屏保存，如无异议，逐个确认及截屏；</w:t>
      </w:r>
    </w:p>
    <w:p w14:paraId="66C42A9D">
      <w:pPr>
        <w:spacing w:line="520" w:lineRule="exact"/>
        <w:ind w:firstLine="559" w:firstLineChars="233"/>
        <w:rPr>
          <w:bCs/>
          <w:highlight w:val="none"/>
        </w:rPr>
      </w:pPr>
      <w:r>
        <w:rPr>
          <w:rFonts w:hint="eastAsia"/>
          <w:bCs/>
          <w:highlight w:val="none"/>
        </w:rPr>
        <w:t>7. 唱标：投标人身份验证成功后代理公司将邮箱投屏到“腾讯会议”系统里，代理机构打开相应投标单位的投标文件，将投标人投标报价页投屏至会议界面进行唱标。如无异议，逐个确认及截屏。若投标文件解密不成功，视为投标人单位放弃投标；</w:t>
      </w:r>
    </w:p>
    <w:p w14:paraId="3AEB5D1A">
      <w:pPr>
        <w:spacing w:line="520" w:lineRule="exact"/>
        <w:ind w:firstLine="182" w:firstLineChars="76"/>
        <w:rPr>
          <w:bCs/>
          <w:highlight w:val="none"/>
        </w:rPr>
      </w:pPr>
      <w:r>
        <w:rPr>
          <w:bCs/>
          <w:highlight w:val="none"/>
        </w:rPr>
        <w:t xml:space="preserve">   </w:t>
      </w:r>
      <w:r>
        <w:rPr>
          <w:rFonts w:hint="eastAsia"/>
          <w:bCs/>
          <w:highlight w:val="none"/>
        </w:rPr>
        <w:t>8．代理机构再次询问各投标人代表，对此次开标会有无异议，如无异议，各投标人将本项目开标确认书打印出来，盖公章签字，附法人授权委托人身份证原件拍照上传至本次开标会微信群；</w:t>
      </w:r>
    </w:p>
    <w:p w14:paraId="3479BC54">
      <w:pPr>
        <w:spacing w:line="520" w:lineRule="exact"/>
        <w:ind w:firstLine="559" w:firstLineChars="233"/>
        <w:rPr>
          <w:bCs/>
          <w:highlight w:val="none"/>
        </w:rPr>
      </w:pPr>
      <w:r>
        <w:rPr>
          <w:rFonts w:hint="eastAsia"/>
          <w:bCs/>
          <w:highlight w:val="none"/>
        </w:rPr>
        <w:t>9. 代理公司工作人员将投标人的投标文件用 U 盘复制给评委，评委进行评标；</w:t>
      </w:r>
    </w:p>
    <w:p w14:paraId="26D7F682">
      <w:pPr>
        <w:spacing w:line="520" w:lineRule="exact"/>
        <w:ind w:firstLine="559" w:firstLineChars="233"/>
        <w:rPr>
          <w:bCs/>
          <w:highlight w:val="none"/>
        </w:rPr>
      </w:pPr>
      <w:r>
        <w:rPr>
          <w:rFonts w:hint="eastAsia"/>
          <w:bCs/>
          <w:highlight w:val="none"/>
        </w:rPr>
        <w:t>10.评委继续后续评标工作。</w:t>
      </w:r>
    </w:p>
    <w:p w14:paraId="1C4459A9">
      <w:pPr>
        <w:spacing w:line="520" w:lineRule="exact"/>
        <w:ind w:firstLine="559" w:firstLineChars="233"/>
        <w:rPr>
          <w:bCs/>
          <w:highlight w:val="none"/>
        </w:rPr>
      </w:pPr>
      <w:r>
        <w:rPr>
          <w:rFonts w:hint="eastAsia"/>
          <w:bCs/>
          <w:highlight w:val="none"/>
        </w:rPr>
        <w:t>附开标确认书</w:t>
      </w:r>
    </w:p>
    <w:tbl>
      <w:tblPr>
        <w:tblStyle w:val="7"/>
        <w:tblW w:w="7860" w:type="dxa"/>
        <w:tblInd w:w="4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0"/>
      </w:tblGrid>
      <w:tr w14:paraId="10B95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7" w:hRule="atLeast"/>
        </w:trPr>
        <w:tc>
          <w:tcPr>
            <w:tcW w:w="7860" w:type="dxa"/>
            <w:noWrap w:val="0"/>
            <w:vAlign w:val="top"/>
          </w:tcPr>
          <w:p w14:paraId="05BE16DB">
            <w:pPr>
              <w:ind w:firstLine="559" w:firstLineChars="233"/>
              <w:jc w:val="center"/>
              <w:rPr>
                <w:rFonts w:hint="eastAsia" w:eastAsia="宋体" w:cs="Times New Roman"/>
                <w:highlight w:val="none"/>
              </w:rPr>
            </w:pPr>
            <w:r>
              <w:rPr>
                <w:rFonts w:hint="eastAsia" w:eastAsia="宋体" w:cs="Times New Roman"/>
                <w:highlight w:val="none"/>
                <w:lang w:eastAsia="zh-CN"/>
              </w:rPr>
              <w:t>红旗影剧院消防改造工程</w:t>
            </w:r>
            <w:r>
              <w:rPr>
                <w:rFonts w:hint="eastAsia" w:eastAsia="宋体" w:cs="Times New Roman"/>
                <w:highlight w:val="none"/>
              </w:rPr>
              <w:t>开标确认书</w:t>
            </w:r>
          </w:p>
          <w:p w14:paraId="6ED20C3F">
            <w:pPr>
              <w:ind w:firstLine="0" w:firstLineChars="0"/>
              <w:rPr>
                <w:highlight w:val="none"/>
              </w:rPr>
            </w:pPr>
            <w:r>
              <w:rPr>
                <w:rFonts w:hint="eastAsia"/>
                <w:highlight w:val="none"/>
                <w:u w:val="single"/>
                <w:lang w:eastAsia="zh-CN"/>
              </w:rPr>
              <w:t>黄石城发工程咨询有限公司</w:t>
            </w:r>
            <w:r>
              <w:rPr>
                <w:rFonts w:hint="eastAsia"/>
                <w:highlight w:val="none"/>
              </w:rPr>
              <w:t>：</w:t>
            </w:r>
          </w:p>
          <w:p w14:paraId="6ED5352A">
            <w:pPr>
              <w:ind w:firstLine="559" w:firstLineChars="233"/>
              <w:rPr>
                <w:highlight w:val="none"/>
              </w:rPr>
            </w:pPr>
            <w:r>
              <w:rPr>
                <w:rFonts w:hint="eastAsia"/>
                <w:highlight w:val="none"/>
              </w:rPr>
              <w:t xml:space="preserve">  本人对</w:t>
            </w:r>
            <w:r>
              <w:rPr>
                <w:rFonts w:hint="eastAsia" w:eastAsia="宋体" w:cs="Times New Roman"/>
                <w:highlight w:val="none"/>
                <w:lang w:eastAsia="zh-CN"/>
              </w:rPr>
              <w:t>红旗影剧院消防改造工程</w:t>
            </w:r>
            <w:r>
              <w:rPr>
                <w:rFonts w:hint="eastAsia"/>
                <w:highlight w:val="none"/>
              </w:rPr>
              <w:t>的投标、开标过程无异议。</w:t>
            </w:r>
          </w:p>
          <w:p w14:paraId="6AA8E3E2">
            <w:pPr>
              <w:ind w:firstLine="559" w:firstLineChars="233"/>
              <w:rPr>
                <w:highlight w:val="none"/>
              </w:rPr>
            </w:pPr>
            <w:r>
              <w:rPr>
                <w:rFonts w:hint="eastAsia"/>
                <w:highlight w:val="none"/>
              </w:rPr>
              <w:t>（附：法人授权委托人身份证原件）</w:t>
            </w:r>
          </w:p>
          <w:p w14:paraId="25E3AF65">
            <w:pPr>
              <w:ind w:firstLine="559" w:firstLineChars="233"/>
              <w:rPr>
                <w:highlight w:val="none"/>
              </w:rPr>
            </w:pPr>
            <w:r>
              <w:rPr>
                <w:rFonts w:hint="eastAsia"/>
                <w:highlight w:val="none"/>
              </w:rPr>
              <w:t>投标人名称（盖章）：</w:t>
            </w:r>
          </w:p>
          <w:p w14:paraId="47C03876">
            <w:pPr>
              <w:ind w:firstLine="559" w:firstLineChars="233"/>
              <w:rPr>
                <w:highlight w:val="none"/>
              </w:rPr>
            </w:pPr>
            <w:r>
              <w:rPr>
                <w:rFonts w:hint="eastAsia"/>
                <w:highlight w:val="none"/>
              </w:rPr>
              <w:t>法人授权委托人签名：</w:t>
            </w:r>
          </w:p>
          <w:p w14:paraId="340B110A">
            <w:pPr>
              <w:ind w:firstLine="559" w:firstLineChars="233"/>
              <w:rPr>
                <w:highlight w:val="none"/>
                <w:u w:val="single"/>
              </w:rPr>
            </w:pPr>
            <w:r>
              <w:rPr>
                <w:rFonts w:hint="eastAsia"/>
                <w:highlight w:val="none"/>
              </w:rPr>
              <w:t>年   月   日</w:t>
            </w:r>
          </w:p>
        </w:tc>
      </w:tr>
    </w:tbl>
    <w:p w14:paraId="51DE5954">
      <w:pPr>
        <w:pStyle w:val="5"/>
        <w:ind w:firstLine="360"/>
        <w:rPr>
          <w:rFonts w:hint="eastAsia"/>
          <w:highlight w:val="none"/>
          <w:lang w:val="zh-CN"/>
        </w:rPr>
      </w:pPr>
    </w:p>
    <w:p w14:paraId="3A670E7E">
      <w:pPr>
        <w:numPr>
          <w:ilvl w:val="3"/>
          <w:numId w:val="16"/>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评标委员会的组成和评标方法</w:t>
      </w:r>
    </w:p>
    <w:p w14:paraId="0E0A093B">
      <w:pPr>
        <w:numPr>
          <w:ilvl w:val="1"/>
          <w:numId w:val="18"/>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评标委员会的组成：评标委员会由招标人依法组建，由三人组成，除招标人外，其他由招标人从专家库中随机抽取产生。</w:t>
      </w:r>
      <w:r>
        <w:rPr>
          <w:rFonts w:hint="eastAsia" w:cs="宋体"/>
          <w:szCs w:val="24"/>
          <w:highlight w:val="none"/>
        </w:rPr>
        <w:t>评标委员会设组长1名，由评标委员会全体成员共同推选产生。评标委员会组长负责组织评标活动，与其他评委有同等表决权。</w:t>
      </w:r>
    </w:p>
    <w:p w14:paraId="58C1B6AC">
      <w:pPr>
        <w:numPr>
          <w:ilvl w:val="1"/>
          <w:numId w:val="18"/>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评标委员会将按照本招标文件规定的评标方法进行评标，评标采用的评标方法见第</w:t>
      </w:r>
      <w:r>
        <w:rPr>
          <w:rFonts w:hint="eastAsia" w:cs="宋体"/>
          <w:snapToGrid w:val="0"/>
          <w:szCs w:val="24"/>
          <w:highlight w:val="none"/>
        </w:rPr>
        <w:t>五</w:t>
      </w:r>
      <w:r>
        <w:rPr>
          <w:rFonts w:hint="eastAsia" w:cs="宋体"/>
          <w:snapToGrid w:val="0"/>
          <w:szCs w:val="24"/>
          <w:highlight w:val="none"/>
          <w:lang w:val="zh-CN"/>
        </w:rPr>
        <w:t>章“评标方法、步骤及标准”。招标文件的内容违反国家有关强制性规定的，评标委员会应当停止评审并向招标人或者招标代理机构说明情况。</w:t>
      </w:r>
    </w:p>
    <w:p w14:paraId="5B26382D">
      <w:pPr>
        <w:numPr>
          <w:ilvl w:val="1"/>
          <w:numId w:val="18"/>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评审委员会成员应当在评审报告上签字，对自己的评审意见承担法律责任。对评审报告有异议的，应当在评审报告上签署不同意见，并说明理由，否则视为同意评审报告。</w:t>
      </w:r>
    </w:p>
    <w:p w14:paraId="7FED3CB7">
      <w:pPr>
        <w:numPr>
          <w:ilvl w:val="3"/>
          <w:numId w:val="16"/>
        </w:numPr>
        <w:tabs>
          <w:tab w:val="clear" w:pos="0"/>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投标文件的初审</w:t>
      </w:r>
    </w:p>
    <w:p w14:paraId="09712782">
      <w:pPr>
        <w:numPr>
          <w:ilvl w:val="1"/>
          <w:numId w:val="19"/>
        </w:numPr>
        <w:tabs>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投标文件的初审见第</w:t>
      </w:r>
      <w:r>
        <w:rPr>
          <w:rFonts w:hint="eastAsia" w:cs="宋体"/>
          <w:snapToGrid w:val="0"/>
          <w:szCs w:val="24"/>
          <w:highlight w:val="none"/>
        </w:rPr>
        <w:t>五</w:t>
      </w:r>
      <w:r>
        <w:rPr>
          <w:rFonts w:hint="eastAsia" w:cs="宋体"/>
          <w:snapToGrid w:val="0"/>
          <w:szCs w:val="24"/>
          <w:highlight w:val="none"/>
          <w:lang w:val="zh-CN"/>
        </w:rPr>
        <w:t>章“评标方法、步骤及标准”。</w:t>
      </w:r>
    </w:p>
    <w:p w14:paraId="5548007B">
      <w:pPr>
        <w:numPr>
          <w:ilvl w:val="3"/>
          <w:numId w:val="16"/>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投标文件的澄清</w:t>
      </w:r>
    </w:p>
    <w:p w14:paraId="6866D346">
      <w:pPr>
        <w:numPr>
          <w:ilvl w:val="1"/>
          <w:numId w:val="20"/>
        </w:numPr>
        <w:tabs>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投标文件的澄清的相关规定见第</w:t>
      </w:r>
      <w:r>
        <w:rPr>
          <w:rFonts w:hint="eastAsia" w:cs="宋体"/>
          <w:snapToGrid w:val="0"/>
          <w:szCs w:val="24"/>
          <w:highlight w:val="none"/>
        </w:rPr>
        <w:t>五</w:t>
      </w:r>
      <w:r>
        <w:rPr>
          <w:rFonts w:hint="eastAsia" w:cs="宋体"/>
          <w:snapToGrid w:val="0"/>
          <w:szCs w:val="24"/>
          <w:highlight w:val="none"/>
          <w:lang w:val="zh-CN"/>
        </w:rPr>
        <w:t>章“评标方法、步骤及标准”。</w:t>
      </w:r>
    </w:p>
    <w:p w14:paraId="6322D50C">
      <w:pPr>
        <w:numPr>
          <w:ilvl w:val="3"/>
          <w:numId w:val="16"/>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详细评审</w:t>
      </w:r>
    </w:p>
    <w:p w14:paraId="222D659A">
      <w:pPr>
        <w:numPr>
          <w:ilvl w:val="1"/>
          <w:numId w:val="21"/>
        </w:numPr>
        <w:tabs>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详细评审的相关规定见第</w:t>
      </w:r>
      <w:r>
        <w:rPr>
          <w:rFonts w:hint="eastAsia" w:cs="宋体"/>
          <w:snapToGrid w:val="0"/>
          <w:szCs w:val="24"/>
          <w:highlight w:val="none"/>
        </w:rPr>
        <w:t>五</w:t>
      </w:r>
      <w:r>
        <w:rPr>
          <w:rFonts w:hint="eastAsia" w:cs="宋体"/>
          <w:snapToGrid w:val="0"/>
          <w:szCs w:val="24"/>
          <w:highlight w:val="none"/>
          <w:lang w:val="zh-CN"/>
        </w:rPr>
        <w:t>章“评标方法、步骤及标准”。</w:t>
      </w:r>
    </w:p>
    <w:p w14:paraId="50DE747F">
      <w:pPr>
        <w:numPr>
          <w:ilvl w:val="3"/>
          <w:numId w:val="16"/>
        </w:numPr>
        <w:tabs>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评标过程保密</w:t>
      </w:r>
    </w:p>
    <w:p w14:paraId="3F28452F">
      <w:pPr>
        <w:numPr>
          <w:ilvl w:val="1"/>
          <w:numId w:val="22"/>
        </w:numPr>
        <w:tabs>
          <w:tab w:val="left" w:pos="540"/>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凡是属于审查、澄清、评价和比较投标的有关资料以及授标意向等，招标人、招标代理机构、监管人员、评标委员会及有关工作人员均不得向投标人或其它无关的人员透露。</w:t>
      </w:r>
    </w:p>
    <w:p w14:paraId="222C206B">
      <w:pPr>
        <w:numPr>
          <w:ilvl w:val="1"/>
          <w:numId w:val="22"/>
        </w:numPr>
        <w:tabs>
          <w:tab w:val="left" w:pos="540"/>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在评标期间，投标人试图影响招标人、招标代理机构和评标委员会而获得评标信息的任何活动，都将导致其投标被否决，并承担相应的法律责任。</w:t>
      </w:r>
    </w:p>
    <w:p w14:paraId="5ACB7968">
      <w:pPr>
        <w:widowControl w:val="0"/>
        <w:numPr>
          <w:ilvl w:val="0"/>
          <w:numId w:val="2"/>
        </w:numPr>
        <w:autoSpaceDE w:val="0"/>
        <w:autoSpaceDN w:val="0"/>
        <w:spacing w:before="67" w:line="240" w:lineRule="auto"/>
        <w:ind w:left="-420" w:firstLineChars="0"/>
        <w:jc w:val="both"/>
        <w:outlineLvl w:val="1"/>
        <w:rPr>
          <w:rFonts w:hint="eastAsia" w:cs="宋体"/>
          <w:b/>
          <w:highlight w:val="none"/>
          <w:lang w:eastAsia="en-US"/>
        </w:rPr>
      </w:pPr>
      <w:bookmarkStart w:id="22" w:name="_Toc17970"/>
      <w:bookmarkStart w:id="23" w:name="_Toc450902081"/>
      <w:r>
        <w:rPr>
          <w:rFonts w:hint="eastAsia" w:cs="宋体"/>
          <w:b/>
          <w:highlight w:val="none"/>
          <w:lang w:eastAsia="en-US"/>
        </w:rPr>
        <w:t>定标与签订合同</w:t>
      </w:r>
      <w:bookmarkEnd w:id="22"/>
      <w:bookmarkEnd w:id="23"/>
    </w:p>
    <w:p w14:paraId="473BBCC5">
      <w:pPr>
        <w:numPr>
          <w:ilvl w:val="3"/>
          <w:numId w:val="23"/>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定标</w:t>
      </w:r>
    </w:p>
    <w:p w14:paraId="442161F0">
      <w:pPr>
        <w:numPr>
          <w:ilvl w:val="1"/>
          <w:numId w:val="24"/>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招标代理机构将自评审结束之日起2个工作日内将评审报告送交招标人。招标人将自收到评审报告之日起5个工作日内在评审报告推荐的中标候选人中确定中标人。</w:t>
      </w:r>
    </w:p>
    <w:p w14:paraId="4653B8E7">
      <w:pPr>
        <w:numPr>
          <w:ilvl w:val="1"/>
          <w:numId w:val="24"/>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招标人或者招标代理机构将自中标人确定之日起2个工作日内，发出中标通知书，并同时在本次招标发布招标公告的媒体上公告中标结果。中标结果公告期为</w:t>
      </w:r>
      <w:r>
        <w:rPr>
          <w:rFonts w:hint="eastAsia" w:cs="宋体"/>
          <w:snapToGrid w:val="0"/>
          <w:szCs w:val="24"/>
          <w:highlight w:val="none"/>
        </w:rPr>
        <w:t>3</w:t>
      </w:r>
      <w:r>
        <w:rPr>
          <w:rFonts w:hint="eastAsia" w:cs="宋体"/>
          <w:snapToGrid w:val="0"/>
          <w:szCs w:val="24"/>
          <w:highlight w:val="none"/>
          <w:lang w:val="zh-CN"/>
        </w:rPr>
        <w:t>个工作日。</w:t>
      </w:r>
    </w:p>
    <w:p w14:paraId="5A99A939">
      <w:pPr>
        <w:numPr>
          <w:ilvl w:val="3"/>
          <w:numId w:val="23"/>
        </w:numPr>
        <w:tabs>
          <w:tab w:val="left" w:pos="0"/>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合同授予标准</w:t>
      </w:r>
    </w:p>
    <w:p w14:paraId="02740A48">
      <w:pPr>
        <w:numPr>
          <w:ilvl w:val="1"/>
          <w:numId w:val="25"/>
        </w:numPr>
        <w:tabs>
          <w:tab w:val="left" w:pos="525"/>
          <w:tab w:val="clear" w:pos="465"/>
        </w:tabs>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招标人将把合同授予</w:t>
      </w:r>
      <w:r>
        <w:rPr>
          <w:rFonts w:hint="eastAsia" w:cs="宋体"/>
          <w:snapToGrid w:val="0"/>
          <w:szCs w:val="24"/>
          <w:highlight w:val="none"/>
        </w:rPr>
        <w:t>中标人</w:t>
      </w:r>
      <w:r>
        <w:rPr>
          <w:rFonts w:hint="eastAsia" w:cs="宋体"/>
          <w:snapToGrid w:val="0"/>
          <w:szCs w:val="24"/>
          <w:highlight w:val="none"/>
          <w:lang w:val="zh-CN"/>
        </w:rPr>
        <w:t>，特殊情况按本须知31.3条的规定执行。</w:t>
      </w:r>
    </w:p>
    <w:p w14:paraId="37BDDE5F">
      <w:pPr>
        <w:numPr>
          <w:ilvl w:val="3"/>
          <w:numId w:val="23"/>
        </w:numPr>
        <w:tabs>
          <w:tab w:val="left" w:pos="0"/>
          <w:tab w:val="left" w:pos="525"/>
        </w:tabs>
        <w:autoSpaceDE w:val="0"/>
        <w:autoSpaceDN w:val="0"/>
        <w:adjustRightInd w:val="0"/>
        <w:ind w:firstLine="482"/>
        <w:rPr>
          <w:rFonts w:hint="eastAsia" w:cs="宋体"/>
          <w:b/>
          <w:snapToGrid w:val="0"/>
          <w:szCs w:val="24"/>
          <w:highlight w:val="none"/>
          <w:lang w:val="zh-CN"/>
        </w:rPr>
      </w:pPr>
      <w:r>
        <w:rPr>
          <w:rFonts w:hint="eastAsia" w:cs="宋体"/>
          <w:b/>
          <w:snapToGrid w:val="0"/>
          <w:szCs w:val="24"/>
          <w:highlight w:val="none"/>
          <w:lang w:val="zh-CN"/>
        </w:rPr>
        <w:t>签订合同</w:t>
      </w:r>
    </w:p>
    <w:p w14:paraId="152F053A">
      <w:pPr>
        <w:numPr>
          <w:ilvl w:val="1"/>
          <w:numId w:val="26"/>
        </w:numPr>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招标文件对履约保证金有规定的，中标人应按规定缴纳履约保证金。有关履约保证金的规定见《投标人须知前附表》。</w:t>
      </w:r>
    </w:p>
    <w:p w14:paraId="673160D2">
      <w:pPr>
        <w:numPr>
          <w:ilvl w:val="1"/>
          <w:numId w:val="26"/>
        </w:numPr>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招标代理机构将协助招标人与中标人签订政府采购合同。招标人与中标人应按招标文件要求和中标人的投标文件订立书面合同，合同不得超出招标文件和投标文件的范围，也不得再行订立背离合同实质性内容的其他协议。</w:t>
      </w:r>
    </w:p>
    <w:p w14:paraId="51D04694">
      <w:pPr>
        <w:numPr>
          <w:ilvl w:val="1"/>
          <w:numId w:val="26"/>
        </w:numPr>
        <w:autoSpaceDE w:val="0"/>
        <w:autoSpaceDN w:val="0"/>
        <w:adjustRightInd w:val="0"/>
        <w:ind w:left="0" w:firstLine="480"/>
        <w:rPr>
          <w:rFonts w:hint="eastAsia" w:cs="宋体"/>
          <w:snapToGrid w:val="0"/>
          <w:szCs w:val="24"/>
          <w:highlight w:val="none"/>
          <w:lang w:val="zh-CN"/>
        </w:rPr>
      </w:pPr>
      <w:r>
        <w:rPr>
          <w:rFonts w:hint="eastAsia" w:cs="宋体"/>
          <w:snapToGrid w:val="0"/>
          <w:szCs w:val="24"/>
          <w:highlight w:val="none"/>
          <w:lang w:val="zh-CN"/>
        </w:rPr>
        <w:t>中标人拒绝与招标人签订合同的，招标人可以按照评审报告推荐的中标候选人，确定下一候选人为中标人，也可以重新开展政府采购活动。</w:t>
      </w:r>
    </w:p>
    <w:p w14:paraId="087B8019">
      <w:pPr>
        <w:widowControl w:val="0"/>
        <w:numPr>
          <w:ilvl w:val="0"/>
          <w:numId w:val="2"/>
        </w:numPr>
        <w:autoSpaceDE w:val="0"/>
        <w:autoSpaceDN w:val="0"/>
        <w:spacing w:before="67" w:line="240" w:lineRule="auto"/>
        <w:ind w:left="-420" w:firstLineChars="0"/>
        <w:jc w:val="both"/>
        <w:outlineLvl w:val="1"/>
        <w:rPr>
          <w:rFonts w:hint="eastAsia" w:cs="宋体"/>
          <w:b/>
          <w:highlight w:val="none"/>
          <w:lang w:val="zh-CN"/>
        </w:rPr>
      </w:pPr>
      <w:bookmarkStart w:id="24" w:name="_Toc9739"/>
      <w:r>
        <w:rPr>
          <w:rFonts w:hint="eastAsia" w:cs="宋体"/>
          <w:b/>
          <w:highlight w:val="none"/>
          <w:lang w:val="zh-CN"/>
        </w:rPr>
        <w:t>重新招标、不再招标和终止招标</w:t>
      </w:r>
      <w:bookmarkEnd w:id="24"/>
    </w:p>
    <w:p w14:paraId="04FE4ED7">
      <w:pPr>
        <w:numPr>
          <w:ilvl w:val="0"/>
          <w:numId w:val="27"/>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重新招标</w:t>
      </w:r>
    </w:p>
    <w:p w14:paraId="75919D7B">
      <w:pPr>
        <w:tabs>
          <w:tab w:val="left" w:pos="525"/>
        </w:tabs>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有下列情形之一的，招标人将重新招标：</w:t>
      </w:r>
    </w:p>
    <w:p w14:paraId="48826011">
      <w:pPr>
        <w:tabs>
          <w:tab w:val="left" w:pos="525"/>
        </w:tabs>
        <w:autoSpaceDE w:val="0"/>
        <w:autoSpaceDN w:val="0"/>
        <w:adjustRightInd w:val="0"/>
        <w:ind w:left="480" w:leftChars="200" w:firstLine="0" w:firstLineChars="0"/>
        <w:rPr>
          <w:rFonts w:hint="eastAsia" w:cs="宋体"/>
          <w:snapToGrid w:val="0"/>
          <w:szCs w:val="24"/>
          <w:highlight w:val="none"/>
          <w:lang w:val="zh-CN"/>
        </w:rPr>
      </w:pPr>
      <w:r>
        <w:rPr>
          <w:rFonts w:hint="eastAsia" w:cs="宋体"/>
          <w:snapToGrid w:val="0"/>
          <w:szCs w:val="24"/>
          <w:highlight w:val="none"/>
          <w:lang w:val="zh-CN"/>
        </w:rPr>
        <w:t>（1）投标截止时间止，投标人少于 3 个的；</w:t>
      </w:r>
    </w:p>
    <w:p w14:paraId="4FF88EE4">
      <w:pPr>
        <w:tabs>
          <w:tab w:val="left" w:pos="525"/>
        </w:tabs>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（2）经评标委员会评审后否决所有投标的；</w:t>
      </w:r>
    </w:p>
    <w:p w14:paraId="2E186059">
      <w:pPr>
        <w:tabs>
          <w:tab w:val="left" w:pos="525"/>
        </w:tabs>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（3）法律、法规规定的其他情形。</w:t>
      </w:r>
    </w:p>
    <w:p w14:paraId="2F1DED2C">
      <w:pPr>
        <w:numPr>
          <w:ilvl w:val="0"/>
          <w:numId w:val="27"/>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不再招标</w:t>
      </w:r>
    </w:p>
    <w:p w14:paraId="60777A3F">
      <w:pPr>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重新招标后投标人仍少于 3 个或者所有投标被否决的，属于必须审批或核准的工程建设项目，经原审批或核准部门批准后不再进行招标。</w:t>
      </w:r>
    </w:p>
    <w:p w14:paraId="11C948BC">
      <w:pPr>
        <w:numPr>
          <w:ilvl w:val="0"/>
          <w:numId w:val="27"/>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终止招标</w:t>
      </w:r>
    </w:p>
    <w:p w14:paraId="7F2AF493">
      <w:pPr>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因不可抗力等原因，招标人终止招标的，将及时发布公告，或者以书面形式通知被邀请的或者已经获取招标文件的潜在投标人。已经发售招标文件或者已经收取投标保证金的，招标人将及时退还所收取的招标文件的费用，以及所收取的投标保证金及银行同期存款利息。</w:t>
      </w:r>
    </w:p>
    <w:p w14:paraId="7A026B1C">
      <w:pPr>
        <w:widowControl w:val="0"/>
        <w:numPr>
          <w:ilvl w:val="0"/>
          <w:numId w:val="2"/>
        </w:numPr>
        <w:autoSpaceDE w:val="0"/>
        <w:autoSpaceDN w:val="0"/>
        <w:spacing w:before="67" w:line="240" w:lineRule="auto"/>
        <w:ind w:left="-420" w:firstLineChars="0"/>
        <w:jc w:val="both"/>
        <w:outlineLvl w:val="1"/>
        <w:rPr>
          <w:rFonts w:hint="eastAsia" w:cs="宋体"/>
          <w:b/>
          <w:highlight w:val="none"/>
          <w:lang w:val="zh-CN" w:eastAsia="en-US"/>
        </w:rPr>
      </w:pPr>
      <w:bookmarkStart w:id="25" w:name="_Toc4385"/>
      <w:r>
        <w:rPr>
          <w:rFonts w:hint="eastAsia" w:cs="宋体"/>
          <w:b/>
          <w:highlight w:val="none"/>
          <w:lang w:val="zh-CN" w:eastAsia="en-US"/>
        </w:rPr>
        <w:t>纪律和监督</w:t>
      </w:r>
      <w:bookmarkEnd w:id="25"/>
    </w:p>
    <w:p w14:paraId="60D9B9C8">
      <w:pPr>
        <w:numPr>
          <w:ilvl w:val="0"/>
          <w:numId w:val="28"/>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对招标人的纪律要求</w:t>
      </w:r>
    </w:p>
    <w:p w14:paraId="4C383ABA">
      <w:pPr>
        <w:autoSpaceDE w:val="0"/>
        <w:autoSpaceDN w:val="0"/>
        <w:adjustRightInd w:val="0"/>
        <w:ind w:firstLine="480"/>
        <w:rPr>
          <w:rFonts w:hint="eastAsia" w:cs="宋体"/>
          <w:snapToGrid w:val="0"/>
          <w:szCs w:val="24"/>
          <w:highlight w:val="none"/>
          <w:lang w:val="zh-CN"/>
        </w:rPr>
      </w:pPr>
      <w:r>
        <w:rPr>
          <w:rFonts w:hint="eastAsia" w:cs="宋体"/>
          <w:snapToGrid w:val="0"/>
          <w:szCs w:val="24"/>
          <w:highlight w:val="none"/>
          <w:lang w:val="zh-CN"/>
        </w:rPr>
        <w:t>招标人不得泄漏招标投标活动中应当保密的情况和资料，不得与投标人串通损害国家利  益、社会公共利益或者他人合法权益。</w:t>
      </w:r>
    </w:p>
    <w:p w14:paraId="7395E4EF">
      <w:pPr>
        <w:numPr>
          <w:ilvl w:val="0"/>
          <w:numId w:val="28"/>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对投标人的纪律要求</w:t>
      </w:r>
    </w:p>
    <w:p w14:paraId="4A51C542">
      <w:pPr>
        <w:pStyle w:val="5"/>
        <w:ind w:firstLine="480"/>
        <w:jc w:val="both"/>
        <w:rPr>
          <w:rFonts w:hint="eastAsia"/>
          <w:highlight w:val="none"/>
          <w:lang w:val="zh-CN"/>
        </w:rPr>
      </w:pPr>
      <w:r>
        <w:rPr>
          <w:rFonts w:hint="eastAsia" w:ascii="宋体" w:hAnsi="宋体" w:cs="宋体"/>
          <w:snapToGrid w:val="0"/>
          <w:kern w:val="0"/>
          <w:sz w:val="24"/>
          <w:szCs w:val="24"/>
          <w:highlight w:val="none"/>
          <w:lang w:val="zh-CN"/>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0EB163E">
      <w:pPr>
        <w:numPr>
          <w:ilvl w:val="0"/>
          <w:numId w:val="28"/>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对评标委员会成员的纪律要求</w:t>
      </w:r>
    </w:p>
    <w:p w14:paraId="69ABEF83">
      <w:pPr>
        <w:pStyle w:val="5"/>
        <w:ind w:firstLine="480"/>
        <w:jc w:val="both"/>
        <w:rPr>
          <w:rFonts w:hint="eastAsia"/>
          <w:highlight w:val="none"/>
          <w:lang w:val="zh-CN"/>
        </w:rPr>
      </w:pPr>
      <w:r>
        <w:rPr>
          <w:rFonts w:hint="eastAsia" w:ascii="宋体" w:hAnsi="宋体" w:cs="宋体"/>
          <w:snapToGrid w:val="0"/>
          <w:kern w:val="0"/>
          <w:sz w:val="24"/>
          <w:szCs w:val="24"/>
          <w:highlight w:val="none"/>
          <w:lang w:val="zh-CN"/>
        </w:rPr>
        <w:t>评标委员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不得向招标人征询其确定中标人的意向，不得接受任何单位或者个人明示或者暗示提出的倾向或者排斥特定投标人的要求，不得对依法应当否决的投标不提出否决意见，不得暗示或者诱导投标人作出澄清、说明或者接受投标人主动提出的澄清、说明；不得使用 “评标办法”没有规定的评审因素和标准进行评标。</w:t>
      </w:r>
    </w:p>
    <w:p w14:paraId="1FB4F6BD">
      <w:pPr>
        <w:numPr>
          <w:ilvl w:val="0"/>
          <w:numId w:val="28"/>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对与评标活动有关的工作人员的纪律要求</w:t>
      </w:r>
    </w:p>
    <w:p w14:paraId="157322D8">
      <w:pPr>
        <w:pStyle w:val="5"/>
        <w:ind w:firstLine="480"/>
        <w:jc w:val="both"/>
        <w:rPr>
          <w:rFonts w:hint="eastAsia"/>
          <w:highlight w:val="none"/>
          <w:lang w:val="zh-CN"/>
        </w:rPr>
      </w:pPr>
      <w:r>
        <w:rPr>
          <w:rFonts w:hint="eastAsia" w:ascii="宋体" w:hAnsi="宋体" w:cs="宋体"/>
          <w:snapToGrid w:val="0"/>
          <w:kern w:val="0"/>
          <w:sz w:val="24"/>
          <w:szCs w:val="24"/>
          <w:highlight w:val="none"/>
          <w:lang w:val="zh-CN"/>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33DFF73">
      <w:pPr>
        <w:numPr>
          <w:ilvl w:val="0"/>
          <w:numId w:val="28"/>
        </w:numPr>
        <w:tabs>
          <w:tab w:val="left" w:pos="525"/>
        </w:tabs>
        <w:autoSpaceDE w:val="0"/>
        <w:autoSpaceDN w:val="0"/>
        <w:adjustRightInd w:val="0"/>
        <w:ind w:firstLineChars="0"/>
        <w:rPr>
          <w:rFonts w:hint="eastAsia" w:cs="宋体"/>
          <w:b/>
          <w:snapToGrid w:val="0"/>
          <w:szCs w:val="24"/>
          <w:highlight w:val="none"/>
          <w:lang w:val="zh-CN"/>
        </w:rPr>
      </w:pPr>
      <w:r>
        <w:rPr>
          <w:rFonts w:hint="eastAsia" w:cs="宋体"/>
          <w:b/>
          <w:snapToGrid w:val="0"/>
          <w:szCs w:val="24"/>
          <w:highlight w:val="none"/>
          <w:lang w:val="zh-CN"/>
        </w:rPr>
        <w:t>投诉</w:t>
      </w:r>
    </w:p>
    <w:p w14:paraId="039B090C">
      <w:pPr>
        <w:pStyle w:val="5"/>
        <w:ind w:firstLine="480"/>
        <w:jc w:val="both"/>
        <w:rPr>
          <w:rFonts w:hint="eastAsia" w:ascii="宋体" w:hAnsi="宋体" w:cs="宋体"/>
          <w:snapToGrid w:val="0"/>
          <w:kern w:val="0"/>
          <w:sz w:val="24"/>
          <w:szCs w:val="24"/>
          <w:highlight w:val="none"/>
          <w:lang w:val="zh-CN"/>
        </w:rPr>
      </w:pPr>
      <w:r>
        <w:rPr>
          <w:rFonts w:hint="eastAsia" w:ascii="宋体" w:hAnsi="宋体" w:cs="宋体"/>
          <w:snapToGrid w:val="0"/>
          <w:kern w:val="0"/>
          <w:sz w:val="24"/>
          <w:szCs w:val="24"/>
          <w:highlight w:val="none"/>
          <w:lang w:val="zh-CN"/>
        </w:rPr>
        <w:t>本次招标投标活动及其相关当事人应当接受有关行政监督部门依法实施的监督。</w:t>
      </w:r>
    </w:p>
    <w:p w14:paraId="3842E9D5">
      <w:pPr>
        <w:pStyle w:val="5"/>
        <w:ind w:firstLine="480"/>
        <w:jc w:val="both"/>
        <w:rPr>
          <w:rFonts w:hint="eastAsia" w:ascii="宋体" w:hAnsi="宋体" w:cs="宋体"/>
          <w:snapToGrid w:val="0"/>
          <w:kern w:val="0"/>
          <w:sz w:val="24"/>
          <w:szCs w:val="24"/>
          <w:highlight w:val="none"/>
          <w:lang w:val="zh-CN"/>
        </w:rPr>
      </w:pPr>
      <w:r>
        <w:rPr>
          <w:rFonts w:hint="eastAsia" w:ascii="宋体" w:hAnsi="宋体" w:cs="宋体"/>
          <w:snapToGrid w:val="0"/>
          <w:kern w:val="0"/>
          <w:sz w:val="24"/>
          <w:szCs w:val="24"/>
          <w:highlight w:val="none"/>
          <w:lang w:val="zh-CN"/>
        </w:rPr>
        <w:t>投标人和其他利害关系人认为本次招标活动违反法律、法规和规章规定的，有权自知道或者应当知道之日起10日内向有关行政监督部门投诉，其中对招标文件的内容（包括招标控制价）、开标、评标结果进行投诉的，应当先向招标人提出异议后，方可向有关行政监督部门投诉，异议答复期不计算在规定的投诉时效期限内。</w:t>
      </w:r>
    </w:p>
    <w:p w14:paraId="3DA4B30B">
      <w:r>
        <w:rPr>
          <w:rFonts w:hint="eastAsia" w:ascii="宋体" w:hAnsi="宋体" w:cs="宋体"/>
          <w:snapToGrid w:val="0"/>
          <w:kern w:val="0"/>
          <w:sz w:val="24"/>
          <w:szCs w:val="24"/>
          <w:highlight w:val="none"/>
          <w:lang w:val="zh-CN"/>
        </w:rPr>
        <w:t>投标人和其他利害关系人的投诉应按照《工程建设项目招标投标活动投诉处理办法》或《湖北省招标投标投诉处理办法》的规定进行。有关行政监督部门和工程造价管理机构的联系方式见投标人须知前附表。</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FD5B2F"/>
    <w:multiLevelType w:val="singleLevel"/>
    <w:tmpl w:val="90FD5B2F"/>
    <w:lvl w:ilvl="0" w:tentative="0">
      <w:start w:val="1"/>
      <w:numFmt w:val="decimal"/>
      <w:lvlText w:val="%1."/>
      <w:lvlJc w:val="left"/>
      <w:pPr>
        <w:ind w:left="425" w:hanging="425"/>
      </w:pPr>
      <w:rPr>
        <w:rFonts w:hint="default"/>
      </w:rPr>
    </w:lvl>
  </w:abstractNum>
  <w:abstractNum w:abstractNumId="1">
    <w:nsid w:val="9C29CDC5"/>
    <w:multiLevelType w:val="singleLevel"/>
    <w:tmpl w:val="9C29CDC5"/>
    <w:lvl w:ilvl="0" w:tentative="0">
      <w:start w:val="1"/>
      <w:numFmt w:val="decimal"/>
      <w:lvlText w:val="%1."/>
      <w:lvlJc w:val="left"/>
      <w:pPr>
        <w:ind w:left="425" w:hanging="425"/>
      </w:pPr>
      <w:rPr>
        <w:rFonts w:hint="default"/>
      </w:rPr>
    </w:lvl>
  </w:abstractNum>
  <w:abstractNum w:abstractNumId="2">
    <w:nsid w:val="D03EFE23"/>
    <w:multiLevelType w:val="singleLevel"/>
    <w:tmpl w:val="D03EFE23"/>
    <w:lvl w:ilvl="0" w:tentative="0">
      <w:start w:val="1"/>
      <w:numFmt w:val="decimal"/>
      <w:lvlText w:val="%1."/>
      <w:lvlJc w:val="left"/>
      <w:pPr>
        <w:tabs>
          <w:tab w:val="left" w:pos="312"/>
        </w:tabs>
      </w:pPr>
    </w:lvl>
  </w:abstractNum>
  <w:abstractNum w:abstractNumId="3">
    <w:nsid w:val="055711FC"/>
    <w:multiLevelType w:val="multilevel"/>
    <w:tmpl w:val="055711FC"/>
    <w:lvl w:ilvl="0" w:tentative="0">
      <w:start w:val="24"/>
      <w:numFmt w:val="decimal"/>
      <w:lvlText w:val="%1"/>
      <w:lvlJc w:val="left"/>
      <w:pPr>
        <w:tabs>
          <w:tab w:val="left" w:pos="465"/>
        </w:tabs>
        <w:ind w:left="465" w:hanging="465"/>
      </w:pPr>
      <w:rPr>
        <w:rFonts w:hint="default"/>
      </w:rPr>
    </w:lvl>
    <w:lvl w:ilvl="1" w:tentative="0">
      <w:start w:val="1"/>
      <w:numFmt w:val="decimal"/>
      <w:lvlText w:val="2.%2"/>
      <w:lvlJc w:val="left"/>
      <w:pPr>
        <w:tabs>
          <w:tab w:val="left" w:pos="465"/>
        </w:tabs>
        <w:ind w:left="465" w:hanging="46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4">
    <w:nsid w:val="076315A3"/>
    <w:multiLevelType w:val="multilevel"/>
    <w:tmpl w:val="076315A3"/>
    <w:lvl w:ilvl="0" w:tentative="0">
      <w:start w:val="8"/>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5">
    <w:nsid w:val="13CB3C85"/>
    <w:multiLevelType w:val="singleLevel"/>
    <w:tmpl w:val="13CB3C85"/>
    <w:lvl w:ilvl="0" w:tentative="0">
      <w:start w:val="1"/>
      <w:numFmt w:val="decimal"/>
      <w:lvlText w:val="1.%1"/>
      <w:lvlJc w:val="left"/>
      <w:pPr>
        <w:tabs>
          <w:tab w:val="left" w:pos="312"/>
        </w:tabs>
        <w:ind w:left="0"/>
      </w:pPr>
      <w:rPr>
        <w:rFonts w:hint="default" w:ascii="宋体" w:hAnsi="宋体" w:eastAsia="宋体" w:cs="宋体"/>
      </w:rPr>
    </w:lvl>
  </w:abstractNum>
  <w:abstractNum w:abstractNumId="6">
    <w:nsid w:val="150E7588"/>
    <w:multiLevelType w:val="multilevel"/>
    <w:tmpl w:val="150E7588"/>
    <w:lvl w:ilvl="0" w:tentative="0">
      <w:start w:val="5"/>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7">
    <w:nsid w:val="18261BA5"/>
    <w:multiLevelType w:val="multilevel"/>
    <w:tmpl w:val="18261BA5"/>
    <w:lvl w:ilvl="0" w:tentative="0">
      <w:start w:val="1"/>
      <w:numFmt w:val="japaneseCounting"/>
      <w:lvlText w:val="第%1章"/>
      <w:lvlJc w:val="left"/>
      <w:pPr>
        <w:tabs>
          <w:tab w:val="left" w:pos="1605"/>
        </w:tabs>
        <w:ind w:left="1605" w:hanging="960"/>
      </w:pPr>
      <w:rPr>
        <w:rFonts w:hint="eastAsia"/>
      </w:rPr>
    </w:lvl>
    <w:lvl w:ilvl="1" w:tentative="0">
      <w:start w:val="1"/>
      <w:numFmt w:val="japaneseCounting"/>
      <w:lvlText w:val="%2、"/>
      <w:lvlJc w:val="left"/>
      <w:pPr>
        <w:tabs>
          <w:tab w:val="left" w:pos="1365"/>
        </w:tabs>
        <w:ind w:left="1365" w:hanging="525"/>
      </w:pPr>
      <w:rPr>
        <w:rFonts w:hint="default"/>
      </w:rPr>
    </w:lvl>
    <w:lvl w:ilvl="2" w:tentative="0">
      <w:start w:val="1"/>
      <w:numFmt w:val="lowerRoman"/>
      <w:lvlText w:val="%3."/>
      <w:lvlJc w:val="right"/>
      <w:pPr>
        <w:tabs>
          <w:tab w:val="left" w:pos="1905"/>
        </w:tabs>
        <w:ind w:left="1905" w:hanging="420"/>
      </w:pPr>
      <w:rPr>
        <w:rFonts w:hint="eastAsia"/>
      </w:rPr>
    </w:lvl>
    <w:lvl w:ilvl="3" w:tentative="0">
      <w:start w:val="1"/>
      <w:numFmt w:val="decimal"/>
      <w:lvlText w:val="%4."/>
      <w:lvlJc w:val="left"/>
      <w:pPr>
        <w:tabs>
          <w:tab w:val="left" w:pos="0"/>
        </w:tabs>
        <w:ind w:left="0" w:firstLine="420"/>
      </w:pPr>
      <w:rPr>
        <w:rFonts w:hint="eastAsia"/>
        <w:sz w:val="21"/>
        <w:szCs w:val="21"/>
      </w:rPr>
    </w:lvl>
    <w:lvl w:ilvl="4" w:tentative="0">
      <w:start w:val="1"/>
      <w:numFmt w:val="lowerLetter"/>
      <w:lvlText w:val="%5)"/>
      <w:lvlJc w:val="left"/>
      <w:pPr>
        <w:tabs>
          <w:tab w:val="left" w:pos="2745"/>
        </w:tabs>
        <w:ind w:left="2745" w:hanging="420"/>
      </w:pPr>
      <w:rPr>
        <w:rFonts w:hint="eastAsia"/>
      </w:rPr>
    </w:lvl>
    <w:lvl w:ilvl="5" w:tentative="0">
      <w:start w:val="1"/>
      <w:numFmt w:val="lowerRoman"/>
      <w:lvlText w:val="%6."/>
      <w:lvlJc w:val="right"/>
      <w:pPr>
        <w:tabs>
          <w:tab w:val="left" w:pos="3165"/>
        </w:tabs>
        <w:ind w:left="3165" w:hanging="420"/>
      </w:pPr>
      <w:rPr>
        <w:rFonts w:hint="eastAsia"/>
      </w:rPr>
    </w:lvl>
    <w:lvl w:ilvl="6" w:tentative="0">
      <w:start w:val="1"/>
      <w:numFmt w:val="decimal"/>
      <w:lvlText w:val="%7."/>
      <w:lvlJc w:val="left"/>
      <w:pPr>
        <w:tabs>
          <w:tab w:val="left" w:pos="420"/>
        </w:tabs>
        <w:ind w:left="420" w:hanging="420"/>
      </w:pPr>
      <w:rPr>
        <w:rFonts w:hint="eastAsia"/>
      </w:rPr>
    </w:lvl>
    <w:lvl w:ilvl="7" w:tentative="0">
      <w:start w:val="1"/>
      <w:numFmt w:val="lowerLetter"/>
      <w:lvlText w:val="%8)"/>
      <w:lvlJc w:val="left"/>
      <w:pPr>
        <w:tabs>
          <w:tab w:val="left" w:pos="4005"/>
        </w:tabs>
        <w:ind w:left="4005" w:hanging="420"/>
      </w:pPr>
      <w:rPr>
        <w:rFonts w:hint="eastAsia"/>
      </w:rPr>
    </w:lvl>
    <w:lvl w:ilvl="8" w:tentative="0">
      <w:start w:val="1"/>
      <w:numFmt w:val="lowerRoman"/>
      <w:lvlText w:val="%9."/>
      <w:lvlJc w:val="right"/>
      <w:pPr>
        <w:tabs>
          <w:tab w:val="left" w:pos="4425"/>
        </w:tabs>
        <w:ind w:left="4425" w:hanging="420"/>
      </w:pPr>
      <w:rPr>
        <w:rFonts w:hint="eastAsia"/>
      </w:rPr>
    </w:lvl>
  </w:abstractNum>
  <w:abstractNum w:abstractNumId="8">
    <w:nsid w:val="1EA1509C"/>
    <w:multiLevelType w:val="multilevel"/>
    <w:tmpl w:val="1EA1509C"/>
    <w:lvl w:ilvl="0" w:tentative="0">
      <w:start w:val="1"/>
      <w:numFmt w:val="decimal"/>
      <w:lvlText w:val="%1、"/>
      <w:lvlJc w:val="left"/>
      <w:pPr>
        <w:tabs>
          <w:tab w:val="left" w:pos="1305"/>
        </w:tabs>
        <w:ind w:left="1305" w:hanging="360"/>
      </w:pPr>
      <w:rPr>
        <w:rFonts w:hint="default"/>
      </w:rPr>
    </w:lvl>
    <w:lvl w:ilvl="1" w:tentative="0">
      <w:start w:val="1"/>
      <w:numFmt w:val="japaneseCounting"/>
      <w:lvlText w:val="%2、"/>
      <w:lvlJc w:val="left"/>
      <w:pPr>
        <w:tabs>
          <w:tab w:val="left" w:pos="1305"/>
        </w:tabs>
        <w:ind w:left="1305" w:hanging="465"/>
      </w:pPr>
      <w:rPr>
        <w:rFonts w:hint="default" w:cs="黑体"/>
      </w:rPr>
    </w:lvl>
    <w:lvl w:ilvl="2" w:tentative="0">
      <w:start w:val="1"/>
      <w:numFmt w:val="decimal"/>
      <w:lvlText w:val="%3)"/>
      <w:lvlJc w:val="left"/>
      <w:pPr>
        <w:tabs>
          <w:tab w:val="left" w:pos="1500"/>
        </w:tabs>
        <w:ind w:left="1500" w:hanging="240"/>
      </w:pPr>
      <w:rPr>
        <w:rFonts w:hint="default"/>
      </w:rPr>
    </w:lvl>
    <w:lvl w:ilvl="3" w:tentative="0">
      <w:start w:val="1"/>
      <w:numFmt w:val="decimal"/>
      <w:lvlText w:val="%4）"/>
      <w:lvlJc w:val="left"/>
      <w:pPr>
        <w:tabs>
          <w:tab w:val="left" w:pos="2040"/>
        </w:tabs>
        <w:ind w:left="2040" w:hanging="360"/>
      </w:pPr>
      <w:rPr>
        <w:rFonts w:hint="default"/>
      </w:rPr>
    </w:lvl>
    <w:lvl w:ilvl="4" w:tentative="0">
      <w:start w:val="4"/>
      <w:numFmt w:val="decimal"/>
      <w:lvlText w:val="%5．"/>
      <w:lvlJc w:val="left"/>
      <w:pPr>
        <w:tabs>
          <w:tab w:val="left" w:pos="2460"/>
        </w:tabs>
        <w:ind w:left="2460" w:hanging="360"/>
      </w:pPr>
      <w:rPr>
        <w:rFonts w:hint="default"/>
      </w:r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9">
    <w:nsid w:val="26EA24ED"/>
    <w:multiLevelType w:val="multilevel"/>
    <w:tmpl w:val="26EA24ED"/>
    <w:lvl w:ilvl="0" w:tentative="0">
      <w:start w:val="11"/>
      <w:numFmt w:val="decimal"/>
      <w:lvlText w:val="%1"/>
      <w:lvlJc w:val="left"/>
      <w:pPr>
        <w:tabs>
          <w:tab w:val="left" w:pos="465"/>
        </w:tabs>
        <w:ind w:left="465" w:hanging="465"/>
      </w:pPr>
      <w:rPr>
        <w:rFonts w:hint="default"/>
      </w:rPr>
    </w:lvl>
    <w:lvl w:ilvl="1" w:tentative="0">
      <w:start w:val="1"/>
      <w:numFmt w:val="decimal"/>
      <w:lvlText w:val="4.%2"/>
      <w:lvlJc w:val="left"/>
      <w:pPr>
        <w:tabs>
          <w:tab w:val="left" w:pos="465"/>
        </w:tabs>
        <w:ind w:left="465" w:hanging="46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10">
    <w:nsid w:val="39A36356"/>
    <w:multiLevelType w:val="multilevel"/>
    <w:tmpl w:val="39A36356"/>
    <w:lvl w:ilvl="0" w:tentative="0">
      <w:start w:val="24"/>
      <w:numFmt w:val="decimal"/>
      <w:lvlText w:val="%1"/>
      <w:lvlJc w:val="left"/>
      <w:pPr>
        <w:tabs>
          <w:tab w:val="left" w:pos="465"/>
        </w:tabs>
        <w:ind w:left="465" w:hanging="465"/>
      </w:pPr>
      <w:rPr>
        <w:rFonts w:hint="default"/>
      </w:rPr>
    </w:lvl>
    <w:lvl w:ilvl="1" w:tentative="0">
      <w:start w:val="1"/>
      <w:numFmt w:val="decimal"/>
      <w:lvlText w:val="4.%2"/>
      <w:lvlJc w:val="left"/>
      <w:pPr>
        <w:tabs>
          <w:tab w:val="left" w:pos="465"/>
        </w:tabs>
        <w:ind w:left="465" w:hanging="46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11">
    <w:nsid w:val="42877669"/>
    <w:multiLevelType w:val="multilevel"/>
    <w:tmpl w:val="42877669"/>
    <w:lvl w:ilvl="0" w:tentative="0">
      <w:start w:val="1"/>
      <w:numFmt w:val="decimal"/>
      <w:lvlText w:val="第%1章"/>
      <w:lvlJc w:val="left"/>
      <w:pPr>
        <w:ind w:left="8987" w:firstLine="0"/>
      </w:pPr>
      <w:rPr>
        <w:rFonts w:hint="eastAsia" w:ascii="宋体" w:hAnsi="宋体" w:eastAsia="宋体"/>
        <w:b/>
        <w:i w:val="0"/>
        <w:sz w:val="28"/>
      </w:rPr>
    </w:lvl>
    <w:lvl w:ilvl="1" w:tentative="0">
      <w:start w:val="1"/>
      <w:numFmt w:val="decimal"/>
      <w:pStyle w:val="4"/>
      <w:lvlText w:val="%1.%2"/>
      <w:lvlJc w:val="left"/>
      <w:pPr>
        <w:ind w:left="3600" w:firstLine="0"/>
      </w:pPr>
      <w:rPr>
        <w:rFonts w:hint="eastAsia" w:ascii="宋体" w:hAnsi="宋体" w:eastAsia="宋体"/>
        <w:b w:val="0"/>
        <w:i w:val="0"/>
        <w:sz w:val="24"/>
      </w:rPr>
    </w:lvl>
    <w:lvl w:ilvl="2" w:tentative="0">
      <w:start w:val="1"/>
      <w:numFmt w:val="decimal"/>
      <w:lvlText w:val="%1.%2.%3"/>
      <w:lvlJc w:val="left"/>
      <w:pPr>
        <w:ind w:left="3600" w:firstLine="0"/>
      </w:pPr>
      <w:rPr>
        <w:rFonts w:hint="eastAsia" w:ascii="宋体" w:hAnsi="宋体" w:eastAsia="宋体"/>
        <w:b w:val="0"/>
        <w:i w:val="0"/>
        <w:sz w:val="24"/>
      </w:rPr>
    </w:lvl>
    <w:lvl w:ilvl="3" w:tentative="0">
      <w:start w:val="1"/>
      <w:numFmt w:val="decimal"/>
      <w:lvlText w:val="%1.%2.%3.%4"/>
      <w:lvlJc w:val="left"/>
      <w:pPr>
        <w:ind w:left="3600" w:firstLine="0"/>
      </w:pPr>
      <w:rPr>
        <w:rFonts w:hint="eastAsia" w:ascii="宋体" w:hAnsi="宋体" w:eastAsia="宋体"/>
        <w:b w:val="0"/>
        <w:i w:val="0"/>
        <w:sz w:val="24"/>
      </w:rPr>
    </w:lvl>
    <w:lvl w:ilvl="4" w:tentative="0">
      <w:start w:val="1"/>
      <w:numFmt w:val="decimal"/>
      <w:lvlText w:val="%1.%2.%3.%4.%5"/>
      <w:lvlJc w:val="left"/>
      <w:pPr>
        <w:ind w:left="3600" w:firstLine="0"/>
      </w:pPr>
      <w:rPr>
        <w:rFonts w:hint="eastAsia" w:ascii="宋体" w:hAnsi="宋体" w:eastAsia="宋体"/>
        <w:b w:val="0"/>
        <w:i w:val="0"/>
        <w:sz w:val="24"/>
      </w:rPr>
    </w:lvl>
    <w:lvl w:ilvl="5" w:tentative="0">
      <w:start w:val="1"/>
      <w:numFmt w:val="decimal"/>
      <w:lvlText w:val="%1.%2.%3.%4.%5.%6"/>
      <w:lvlJc w:val="left"/>
      <w:pPr>
        <w:ind w:left="3600" w:firstLine="0"/>
      </w:pPr>
      <w:rPr>
        <w:rFonts w:hint="eastAsia" w:ascii="宋体" w:hAnsi="宋体" w:eastAsia="宋体"/>
        <w:b w:val="0"/>
        <w:i w:val="0"/>
        <w:sz w:val="24"/>
      </w:rPr>
    </w:lvl>
    <w:lvl w:ilvl="6" w:tentative="0">
      <w:start w:val="1"/>
      <w:numFmt w:val="decimal"/>
      <w:lvlText w:val="%1.%2.%3.%4.%5.%6.%7"/>
      <w:lvlJc w:val="left"/>
      <w:pPr>
        <w:ind w:left="6150" w:firstLine="0"/>
      </w:pPr>
      <w:rPr>
        <w:rFonts w:hint="eastAsia"/>
      </w:rPr>
    </w:lvl>
    <w:lvl w:ilvl="7" w:tentative="0">
      <w:start w:val="1"/>
      <w:numFmt w:val="decimal"/>
      <w:lvlText w:val="%1.%2.%3.%4.%5.%6.%7.%8"/>
      <w:lvlJc w:val="left"/>
      <w:pPr>
        <w:ind w:left="6575" w:firstLine="0"/>
      </w:pPr>
      <w:rPr>
        <w:rFonts w:hint="eastAsia"/>
      </w:rPr>
    </w:lvl>
    <w:lvl w:ilvl="8" w:tentative="0">
      <w:start w:val="1"/>
      <w:numFmt w:val="decimal"/>
      <w:lvlText w:val="%1.%2.%3.%4.%5.%6.%7.%8.%9"/>
      <w:lvlJc w:val="left"/>
      <w:pPr>
        <w:ind w:left="7000" w:firstLine="0"/>
      </w:pPr>
      <w:rPr>
        <w:rFonts w:hint="eastAsia"/>
      </w:rPr>
    </w:lvl>
  </w:abstractNum>
  <w:abstractNum w:abstractNumId="12">
    <w:nsid w:val="45D70F98"/>
    <w:multiLevelType w:val="multilevel"/>
    <w:tmpl w:val="45D70F98"/>
    <w:lvl w:ilvl="0" w:tentative="0">
      <w:start w:val="24"/>
      <w:numFmt w:val="decimal"/>
      <w:lvlText w:val="%1"/>
      <w:lvlJc w:val="left"/>
      <w:pPr>
        <w:tabs>
          <w:tab w:val="left" w:pos="465"/>
        </w:tabs>
        <w:ind w:left="465" w:hanging="465"/>
      </w:pPr>
      <w:rPr>
        <w:rFonts w:hint="default"/>
      </w:rPr>
    </w:lvl>
    <w:lvl w:ilvl="1" w:tentative="0">
      <w:start w:val="1"/>
      <w:numFmt w:val="decimal"/>
      <w:lvlText w:val="3.%2"/>
      <w:lvlJc w:val="left"/>
      <w:pPr>
        <w:tabs>
          <w:tab w:val="left" w:pos="465"/>
        </w:tabs>
        <w:ind w:left="465" w:hanging="46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13">
    <w:nsid w:val="461C55A1"/>
    <w:multiLevelType w:val="multilevel"/>
    <w:tmpl w:val="461C55A1"/>
    <w:lvl w:ilvl="0" w:tentative="0">
      <w:start w:val="27"/>
      <w:numFmt w:val="decimal"/>
      <w:lvlText w:val="%1"/>
      <w:lvlJc w:val="left"/>
      <w:pPr>
        <w:tabs>
          <w:tab w:val="left" w:pos="465"/>
        </w:tabs>
        <w:ind w:left="465" w:hanging="465"/>
      </w:pPr>
      <w:rPr>
        <w:rFonts w:hint="default"/>
      </w:rPr>
    </w:lvl>
    <w:lvl w:ilvl="1" w:tentative="0">
      <w:start w:val="1"/>
      <w:numFmt w:val="decimal"/>
      <w:lvlText w:val="6.%2"/>
      <w:lvlJc w:val="left"/>
      <w:pPr>
        <w:tabs>
          <w:tab w:val="left" w:pos="465"/>
        </w:tabs>
        <w:ind w:left="465" w:hanging="46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14">
    <w:nsid w:val="46C95EB7"/>
    <w:multiLevelType w:val="multilevel"/>
    <w:tmpl w:val="46C95EB7"/>
    <w:lvl w:ilvl="0" w:tentative="0">
      <w:start w:val="1"/>
      <w:numFmt w:val="decimal"/>
      <w:lvlText w:val="%1、"/>
      <w:lvlJc w:val="left"/>
      <w:pPr>
        <w:tabs>
          <w:tab w:val="left" w:pos="1305"/>
        </w:tabs>
        <w:ind w:left="1305" w:hanging="360"/>
      </w:pPr>
      <w:rPr>
        <w:rFonts w:hint="default"/>
      </w:rPr>
    </w:lvl>
    <w:lvl w:ilvl="1" w:tentative="0">
      <w:start w:val="1"/>
      <w:numFmt w:val="japaneseCounting"/>
      <w:lvlText w:val="%2、"/>
      <w:lvlJc w:val="left"/>
      <w:pPr>
        <w:tabs>
          <w:tab w:val="left" w:pos="1305"/>
        </w:tabs>
        <w:ind w:left="1305" w:hanging="465"/>
      </w:pPr>
      <w:rPr>
        <w:rFonts w:hint="default" w:cs="黑体"/>
      </w:rPr>
    </w:lvl>
    <w:lvl w:ilvl="2" w:tentative="0">
      <w:start w:val="1"/>
      <w:numFmt w:val="decimal"/>
      <w:lvlText w:val="%3)"/>
      <w:lvlJc w:val="left"/>
      <w:pPr>
        <w:tabs>
          <w:tab w:val="left" w:pos="1500"/>
        </w:tabs>
        <w:ind w:left="1500" w:hanging="240"/>
      </w:pPr>
      <w:rPr>
        <w:rFonts w:hint="default"/>
      </w:rPr>
    </w:lvl>
    <w:lvl w:ilvl="3" w:tentative="0">
      <w:start w:val="1"/>
      <w:numFmt w:val="decimal"/>
      <w:lvlText w:val="%4）"/>
      <w:lvlJc w:val="left"/>
      <w:pPr>
        <w:tabs>
          <w:tab w:val="left" w:pos="2040"/>
        </w:tabs>
        <w:ind w:left="2040" w:hanging="360"/>
      </w:pPr>
      <w:rPr>
        <w:rFonts w:hint="default"/>
      </w:rPr>
    </w:lvl>
    <w:lvl w:ilvl="4" w:tentative="0">
      <w:start w:val="4"/>
      <w:numFmt w:val="decimal"/>
      <w:lvlText w:val="%5．"/>
      <w:lvlJc w:val="left"/>
      <w:pPr>
        <w:tabs>
          <w:tab w:val="left" w:pos="2460"/>
        </w:tabs>
        <w:ind w:left="2460" w:hanging="360"/>
      </w:pPr>
      <w:rPr>
        <w:rFonts w:hint="default"/>
      </w:r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5">
    <w:nsid w:val="482C0942"/>
    <w:multiLevelType w:val="multilevel"/>
    <w:tmpl w:val="482C0942"/>
    <w:lvl w:ilvl="0" w:tentative="0">
      <w:start w:val="1"/>
      <w:numFmt w:val="japaneseCounting"/>
      <w:lvlText w:val="第%1章"/>
      <w:lvlJc w:val="left"/>
      <w:pPr>
        <w:tabs>
          <w:tab w:val="left" w:pos="1605"/>
        </w:tabs>
        <w:ind w:left="1605" w:hanging="960"/>
      </w:pPr>
      <w:rPr>
        <w:rFonts w:hint="eastAsia"/>
      </w:rPr>
    </w:lvl>
    <w:lvl w:ilvl="1" w:tentative="0">
      <w:start w:val="1"/>
      <w:numFmt w:val="japaneseCounting"/>
      <w:lvlText w:val="%2、"/>
      <w:lvlJc w:val="left"/>
      <w:pPr>
        <w:tabs>
          <w:tab w:val="left" w:pos="1365"/>
        </w:tabs>
        <w:ind w:left="1365" w:hanging="525"/>
      </w:pPr>
      <w:rPr>
        <w:rFonts w:hint="default"/>
      </w:rPr>
    </w:lvl>
    <w:lvl w:ilvl="2" w:tentative="0">
      <w:start w:val="1"/>
      <w:numFmt w:val="lowerRoman"/>
      <w:lvlText w:val="%3."/>
      <w:lvlJc w:val="right"/>
      <w:pPr>
        <w:tabs>
          <w:tab w:val="left" w:pos="1905"/>
        </w:tabs>
        <w:ind w:left="1905" w:hanging="420"/>
      </w:pPr>
      <w:rPr>
        <w:rFonts w:hint="eastAsia"/>
      </w:rPr>
    </w:lvl>
    <w:lvl w:ilvl="3" w:tentative="0">
      <w:start w:val="1"/>
      <w:numFmt w:val="decimal"/>
      <w:lvlText w:val="%4."/>
      <w:lvlJc w:val="left"/>
      <w:pPr>
        <w:tabs>
          <w:tab w:val="left" w:pos="148"/>
        </w:tabs>
        <w:ind w:left="148" w:firstLine="420"/>
      </w:pPr>
      <w:rPr>
        <w:rFonts w:hint="eastAsia"/>
        <w:sz w:val="21"/>
        <w:szCs w:val="21"/>
      </w:rPr>
    </w:lvl>
    <w:lvl w:ilvl="4" w:tentative="0">
      <w:start w:val="1"/>
      <w:numFmt w:val="lowerLetter"/>
      <w:lvlText w:val="%5)"/>
      <w:lvlJc w:val="left"/>
      <w:pPr>
        <w:tabs>
          <w:tab w:val="left" w:pos="2745"/>
        </w:tabs>
        <w:ind w:left="2745" w:hanging="420"/>
      </w:pPr>
      <w:rPr>
        <w:rFonts w:hint="eastAsia"/>
      </w:rPr>
    </w:lvl>
    <w:lvl w:ilvl="5" w:tentative="0">
      <w:start w:val="1"/>
      <w:numFmt w:val="lowerRoman"/>
      <w:lvlText w:val="%6."/>
      <w:lvlJc w:val="right"/>
      <w:pPr>
        <w:tabs>
          <w:tab w:val="left" w:pos="3165"/>
        </w:tabs>
        <w:ind w:left="3165" w:hanging="420"/>
      </w:pPr>
      <w:rPr>
        <w:rFonts w:hint="eastAsia"/>
      </w:rPr>
    </w:lvl>
    <w:lvl w:ilvl="6" w:tentative="0">
      <w:start w:val="1"/>
      <w:numFmt w:val="decimal"/>
      <w:lvlText w:val="%7."/>
      <w:lvlJc w:val="left"/>
      <w:pPr>
        <w:tabs>
          <w:tab w:val="left" w:pos="420"/>
        </w:tabs>
        <w:ind w:left="420" w:hanging="420"/>
      </w:pPr>
      <w:rPr>
        <w:rFonts w:hint="eastAsia"/>
      </w:rPr>
    </w:lvl>
    <w:lvl w:ilvl="7" w:tentative="0">
      <w:start w:val="1"/>
      <w:numFmt w:val="lowerLetter"/>
      <w:lvlText w:val="%8)"/>
      <w:lvlJc w:val="left"/>
      <w:pPr>
        <w:tabs>
          <w:tab w:val="left" w:pos="4005"/>
        </w:tabs>
        <w:ind w:left="4005" w:hanging="420"/>
      </w:pPr>
      <w:rPr>
        <w:rFonts w:hint="eastAsia"/>
      </w:rPr>
    </w:lvl>
    <w:lvl w:ilvl="8" w:tentative="0">
      <w:start w:val="1"/>
      <w:numFmt w:val="lowerRoman"/>
      <w:lvlText w:val="%9."/>
      <w:lvlJc w:val="right"/>
      <w:pPr>
        <w:tabs>
          <w:tab w:val="left" w:pos="4425"/>
        </w:tabs>
        <w:ind w:left="4425" w:hanging="420"/>
      </w:pPr>
      <w:rPr>
        <w:rFonts w:hint="eastAsia"/>
      </w:rPr>
    </w:lvl>
  </w:abstractNum>
  <w:abstractNum w:abstractNumId="16">
    <w:nsid w:val="55805FF5"/>
    <w:multiLevelType w:val="multilevel"/>
    <w:tmpl w:val="55805FF5"/>
    <w:lvl w:ilvl="0" w:tentative="0">
      <w:start w:val="28"/>
      <w:numFmt w:val="decimal"/>
      <w:lvlText w:val="%1"/>
      <w:lvlJc w:val="left"/>
      <w:pPr>
        <w:tabs>
          <w:tab w:val="left" w:pos="465"/>
        </w:tabs>
        <w:ind w:left="465" w:hanging="465"/>
      </w:pPr>
      <w:rPr>
        <w:rFonts w:hint="default"/>
      </w:rPr>
    </w:lvl>
    <w:lvl w:ilvl="1" w:tentative="0">
      <w:start w:val="1"/>
      <w:numFmt w:val="decimal"/>
      <w:lvlText w:val="1.%2"/>
      <w:lvlJc w:val="left"/>
      <w:pPr>
        <w:tabs>
          <w:tab w:val="left" w:pos="465"/>
        </w:tabs>
        <w:ind w:left="465" w:hanging="46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17">
    <w:nsid w:val="58713D07"/>
    <w:multiLevelType w:val="multilevel"/>
    <w:tmpl w:val="58713D07"/>
    <w:lvl w:ilvl="0" w:tentative="0">
      <w:start w:val="30"/>
      <w:numFmt w:val="decimal"/>
      <w:lvlText w:val="%1"/>
      <w:lvlJc w:val="left"/>
      <w:pPr>
        <w:tabs>
          <w:tab w:val="left" w:pos="465"/>
        </w:tabs>
        <w:ind w:left="465" w:hanging="465"/>
      </w:pPr>
      <w:rPr>
        <w:rFonts w:hint="default"/>
      </w:rPr>
    </w:lvl>
    <w:lvl w:ilvl="1" w:tentative="0">
      <w:start w:val="1"/>
      <w:numFmt w:val="decimal"/>
      <w:lvlText w:val="2.%2"/>
      <w:lvlJc w:val="left"/>
      <w:pPr>
        <w:tabs>
          <w:tab w:val="left" w:pos="465"/>
        </w:tabs>
        <w:ind w:left="465" w:hanging="46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18">
    <w:nsid w:val="5BBD1EED"/>
    <w:multiLevelType w:val="multilevel"/>
    <w:tmpl w:val="5BBD1EED"/>
    <w:lvl w:ilvl="0" w:tentative="0">
      <w:start w:val="10"/>
      <w:numFmt w:val="decimal"/>
      <w:lvlText w:val="%1"/>
      <w:lvlJc w:val="left"/>
      <w:pPr>
        <w:tabs>
          <w:tab w:val="left" w:pos="465"/>
        </w:tabs>
        <w:ind w:left="465" w:hanging="465"/>
      </w:pPr>
      <w:rPr>
        <w:rFonts w:hint="default"/>
      </w:rPr>
    </w:lvl>
    <w:lvl w:ilvl="1" w:tentative="0">
      <w:start w:val="1"/>
      <w:numFmt w:val="decimal"/>
      <w:lvlText w:val="3.%2"/>
      <w:lvlJc w:val="left"/>
      <w:pPr>
        <w:tabs>
          <w:tab w:val="left" w:pos="465"/>
        </w:tabs>
        <w:ind w:left="465" w:hanging="46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19">
    <w:nsid w:val="6065484F"/>
    <w:multiLevelType w:val="multilevel"/>
    <w:tmpl w:val="6065484F"/>
    <w:lvl w:ilvl="0" w:tentative="0">
      <w:start w:val="7"/>
      <w:numFmt w:val="decimal"/>
      <w:lvlText w:val="%1"/>
      <w:lvlJc w:val="left"/>
      <w:pPr>
        <w:tabs>
          <w:tab w:val="left" w:pos="360"/>
        </w:tabs>
        <w:ind w:left="360" w:hanging="360"/>
      </w:pPr>
      <w:rPr>
        <w:rFonts w:hint="default"/>
      </w:rPr>
    </w:lvl>
    <w:lvl w:ilvl="1" w:tentative="0">
      <w:start w:val="1"/>
      <w:numFmt w:val="decimal"/>
      <w:lvlText w:val="3.%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20">
    <w:nsid w:val="630E68FC"/>
    <w:multiLevelType w:val="multilevel"/>
    <w:tmpl w:val="630E68FC"/>
    <w:lvl w:ilvl="0" w:tentative="0">
      <w:start w:val="6"/>
      <w:numFmt w:val="decimal"/>
      <w:lvlText w:val="%1"/>
      <w:lvlJc w:val="left"/>
      <w:pPr>
        <w:tabs>
          <w:tab w:val="left" w:pos="360"/>
        </w:tabs>
        <w:ind w:left="360" w:hanging="360"/>
      </w:pPr>
      <w:rPr>
        <w:rFonts w:hint="default"/>
      </w:rPr>
    </w:lvl>
    <w:lvl w:ilvl="1" w:tentative="0">
      <w:start w:val="1"/>
      <w:numFmt w:val="decimal"/>
      <w:lvlText w:val="2.%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21">
    <w:nsid w:val="63AA4603"/>
    <w:multiLevelType w:val="multilevel"/>
    <w:tmpl w:val="63AA4603"/>
    <w:lvl w:ilvl="0" w:tentative="0">
      <w:start w:val="27"/>
      <w:numFmt w:val="decimal"/>
      <w:lvlText w:val="%1"/>
      <w:lvlJc w:val="left"/>
      <w:pPr>
        <w:tabs>
          <w:tab w:val="left" w:pos="465"/>
        </w:tabs>
        <w:ind w:left="465" w:hanging="465"/>
      </w:pPr>
      <w:rPr>
        <w:rFonts w:hint="default"/>
      </w:rPr>
    </w:lvl>
    <w:lvl w:ilvl="1" w:tentative="0">
      <w:start w:val="1"/>
      <w:numFmt w:val="decimal"/>
      <w:lvlText w:val="5.%2"/>
      <w:lvlJc w:val="left"/>
      <w:pPr>
        <w:tabs>
          <w:tab w:val="left" w:pos="465"/>
        </w:tabs>
        <w:ind w:left="465" w:hanging="46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22">
    <w:nsid w:val="65B3430D"/>
    <w:multiLevelType w:val="multilevel"/>
    <w:tmpl w:val="65B3430D"/>
    <w:lvl w:ilvl="0" w:tentative="0">
      <w:start w:val="1"/>
      <w:numFmt w:val="japaneseCounting"/>
      <w:lvlText w:val="第%1章"/>
      <w:lvlJc w:val="left"/>
      <w:pPr>
        <w:tabs>
          <w:tab w:val="left" w:pos="1605"/>
        </w:tabs>
        <w:ind w:left="1605" w:hanging="960"/>
      </w:pPr>
      <w:rPr>
        <w:rFonts w:hint="eastAsia"/>
      </w:rPr>
    </w:lvl>
    <w:lvl w:ilvl="1" w:tentative="0">
      <w:start w:val="1"/>
      <w:numFmt w:val="japaneseCounting"/>
      <w:lvlText w:val="%2、"/>
      <w:lvlJc w:val="left"/>
      <w:pPr>
        <w:tabs>
          <w:tab w:val="left" w:pos="1365"/>
        </w:tabs>
        <w:ind w:left="1365" w:hanging="525"/>
      </w:pPr>
      <w:rPr>
        <w:rFonts w:hint="default"/>
      </w:rPr>
    </w:lvl>
    <w:lvl w:ilvl="2" w:tentative="0">
      <w:start w:val="1"/>
      <w:numFmt w:val="lowerRoman"/>
      <w:lvlText w:val="%3."/>
      <w:lvlJc w:val="right"/>
      <w:pPr>
        <w:tabs>
          <w:tab w:val="left" w:pos="1905"/>
        </w:tabs>
        <w:ind w:left="1905" w:hanging="420"/>
      </w:pPr>
      <w:rPr>
        <w:rFonts w:hint="eastAsia"/>
      </w:rPr>
    </w:lvl>
    <w:lvl w:ilvl="3" w:tentative="0">
      <w:start w:val="1"/>
      <w:numFmt w:val="decimal"/>
      <w:lvlText w:val="%4."/>
      <w:lvlJc w:val="left"/>
      <w:pPr>
        <w:tabs>
          <w:tab w:val="left" w:pos="0"/>
        </w:tabs>
        <w:ind w:left="0" w:firstLine="420"/>
      </w:pPr>
      <w:rPr>
        <w:rFonts w:hint="eastAsia"/>
        <w:sz w:val="21"/>
        <w:szCs w:val="21"/>
      </w:rPr>
    </w:lvl>
    <w:lvl w:ilvl="4" w:tentative="0">
      <w:start w:val="1"/>
      <w:numFmt w:val="lowerLetter"/>
      <w:lvlText w:val="%5)"/>
      <w:lvlJc w:val="left"/>
      <w:pPr>
        <w:tabs>
          <w:tab w:val="left" w:pos="2745"/>
        </w:tabs>
        <w:ind w:left="2745" w:hanging="420"/>
      </w:pPr>
      <w:rPr>
        <w:rFonts w:hint="eastAsia"/>
      </w:rPr>
    </w:lvl>
    <w:lvl w:ilvl="5" w:tentative="0">
      <w:start w:val="1"/>
      <w:numFmt w:val="lowerRoman"/>
      <w:lvlText w:val="%6."/>
      <w:lvlJc w:val="right"/>
      <w:pPr>
        <w:tabs>
          <w:tab w:val="left" w:pos="3165"/>
        </w:tabs>
        <w:ind w:left="3165" w:hanging="420"/>
      </w:pPr>
      <w:rPr>
        <w:rFonts w:hint="eastAsia"/>
      </w:rPr>
    </w:lvl>
    <w:lvl w:ilvl="6" w:tentative="0">
      <w:start w:val="1"/>
      <w:numFmt w:val="decimal"/>
      <w:lvlText w:val="%7."/>
      <w:lvlJc w:val="left"/>
      <w:pPr>
        <w:tabs>
          <w:tab w:val="left" w:pos="420"/>
        </w:tabs>
        <w:ind w:left="420" w:hanging="420"/>
      </w:pPr>
      <w:rPr>
        <w:rFonts w:hint="eastAsia"/>
      </w:rPr>
    </w:lvl>
    <w:lvl w:ilvl="7" w:tentative="0">
      <w:start w:val="1"/>
      <w:numFmt w:val="lowerLetter"/>
      <w:lvlText w:val="%8)"/>
      <w:lvlJc w:val="left"/>
      <w:pPr>
        <w:tabs>
          <w:tab w:val="left" w:pos="4005"/>
        </w:tabs>
        <w:ind w:left="4005" w:hanging="420"/>
      </w:pPr>
      <w:rPr>
        <w:rFonts w:hint="eastAsia"/>
      </w:rPr>
    </w:lvl>
    <w:lvl w:ilvl="8" w:tentative="0">
      <w:start w:val="1"/>
      <w:numFmt w:val="lowerRoman"/>
      <w:lvlText w:val="%9."/>
      <w:lvlJc w:val="right"/>
      <w:pPr>
        <w:tabs>
          <w:tab w:val="left" w:pos="4425"/>
        </w:tabs>
        <w:ind w:left="4425" w:hanging="420"/>
      </w:pPr>
      <w:rPr>
        <w:rFonts w:hint="eastAsia"/>
      </w:rPr>
    </w:lvl>
  </w:abstractNum>
  <w:abstractNum w:abstractNumId="23">
    <w:nsid w:val="65E34260"/>
    <w:multiLevelType w:val="singleLevel"/>
    <w:tmpl w:val="65E34260"/>
    <w:lvl w:ilvl="0" w:tentative="0">
      <w:start w:val="1"/>
      <w:numFmt w:val="chineseCounting"/>
      <w:suff w:val="nothing"/>
      <w:lvlText w:val="%1、"/>
      <w:lvlJc w:val="left"/>
      <w:pPr>
        <w:ind w:left="-417" w:firstLine="420"/>
      </w:pPr>
      <w:rPr>
        <w:rFonts w:hint="eastAsia"/>
      </w:rPr>
    </w:lvl>
  </w:abstractNum>
  <w:abstractNum w:abstractNumId="24">
    <w:nsid w:val="663722A8"/>
    <w:multiLevelType w:val="multilevel"/>
    <w:tmpl w:val="663722A8"/>
    <w:lvl w:ilvl="0" w:tentative="0">
      <w:start w:val="30"/>
      <w:numFmt w:val="decimal"/>
      <w:lvlText w:val="%1"/>
      <w:lvlJc w:val="left"/>
      <w:pPr>
        <w:tabs>
          <w:tab w:val="left" w:pos="465"/>
        </w:tabs>
        <w:ind w:left="465" w:hanging="465"/>
      </w:pPr>
      <w:rPr>
        <w:rFonts w:hint="default"/>
      </w:rPr>
    </w:lvl>
    <w:lvl w:ilvl="1" w:tentative="0">
      <w:start w:val="1"/>
      <w:numFmt w:val="decimal"/>
      <w:lvlText w:val="3.%2"/>
      <w:lvlJc w:val="left"/>
      <w:pPr>
        <w:tabs>
          <w:tab w:val="left" w:pos="465"/>
        </w:tabs>
        <w:ind w:left="465" w:hanging="46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25">
    <w:nsid w:val="68C50813"/>
    <w:multiLevelType w:val="multilevel"/>
    <w:tmpl w:val="68C50813"/>
    <w:lvl w:ilvl="0" w:tentative="0">
      <w:start w:val="9"/>
      <w:numFmt w:val="decimal"/>
      <w:lvlText w:val="%1"/>
      <w:lvlJc w:val="left"/>
      <w:pPr>
        <w:tabs>
          <w:tab w:val="left" w:pos="360"/>
        </w:tabs>
        <w:ind w:left="360" w:hanging="360"/>
      </w:pPr>
      <w:rPr>
        <w:rFonts w:hint="default"/>
      </w:rPr>
    </w:lvl>
    <w:lvl w:ilvl="1" w:tentative="0">
      <w:start w:val="1"/>
      <w:numFmt w:val="decimal"/>
      <w:lvlText w:val="2.%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800"/>
        </w:tabs>
        <w:ind w:left="1800" w:hanging="180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26">
    <w:nsid w:val="6D2B6785"/>
    <w:multiLevelType w:val="multilevel"/>
    <w:tmpl w:val="6D2B6785"/>
    <w:lvl w:ilvl="0" w:tentative="0">
      <w:start w:val="1"/>
      <w:numFmt w:val="japaneseCounting"/>
      <w:lvlText w:val="第%1章"/>
      <w:lvlJc w:val="left"/>
      <w:pPr>
        <w:tabs>
          <w:tab w:val="left" w:pos="1605"/>
        </w:tabs>
        <w:ind w:left="1605" w:hanging="960"/>
      </w:pPr>
      <w:rPr>
        <w:rFonts w:hint="eastAsia"/>
      </w:rPr>
    </w:lvl>
    <w:lvl w:ilvl="1" w:tentative="0">
      <w:start w:val="1"/>
      <w:numFmt w:val="japaneseCounting"/>
      <w:lvlText w:val="%2、"/>
      <w:lvlJc w:val="left"/>
      <w:pPr>
        <w:tabs>
          <w:tab w:val="left" w:pos="1365"/>
        </w:tabs>
        <w:ind w:left="1365" w:hanging="525"/>
      </w:pPr>
      <w:rPr>
        <w:rFonts w:hint="default"/>
      </w:rPr>
    </w:lvl>
    <w:lvl w:ilvl="2" w:tentative="0">
      <w:start w:val="1"/>
      <w:numFmt w:val="lowerRoman"/>
      <w:lvlText w:val="%3."/>
      <w:lvlJc w:val="right"/>
      <w:pPr>
        <w:tabs>
          <w:tab w:val="left" w:pos="1905"/>
        </w:tabs>
        <w:ind w:left="1905" w:hanging="420"/>
      </w:pPr>
      <w:rPr>
        <w:rFonts w:hint="eastAsia"/>
      </w:rPr>
    </w:lvl>
    <w:lvl w:ilvl="3" w:tentative="0">
      <w:start w:val="1"/>
      <w:numFmt w:val="decimal"/>
      <w:lvlText w:val="%4."/>
      <w:lvlJc w:val="left"/>
      <w:pPr>
        <w:tabs>
          <w:tab w:val="left" w:pos="0"/>
        </w:tabs>
        <w:ind w:left="0" w:firstLine="420"/>
      </w:pPr>
      <w:rPr>
        <w:rFonts w:hint="eastAsia"/>
        <w:sz w:val="21"/>
        <w:szCs w:val="21"/>
      </w:rPr>
    </w:lvl>
    <w:lvl w:ilvl="4" w:tentative="0">
      <w:start w:val="1"/>
      <w:numFmt w:val="lowerLetter"/>
      <w:lvlText w:val="%5)"/>
      <w:lvlJc w:val="left"/>
      <w:pPr>
        <w:tabs>
          <w:tab w:val="left" w:pos="2745"/>
        </w:tabs>
        <w:ind w:left="2745" w:hanging="420"/>
      </w:pPr>
      <w:rPr>
        <w:rFonts w:hint="eastAsia"/>
      </w:rPr>
    </w:lvl>
    <w:lvl w:ilvl="5" w:tentative="0">
      <w:start w:val="1"/>
      <w:numFmt w:val="lowerRoman"/>
      <w:lvlText w:val="%6."/>
      <w:lvlJc w:val="right"/>
      <w:pPr>
        <w:tabs>
          <w:tab w:val="left" w:pos="3165"/>
        </w:tabs>
        <w:ind w:left="3165" w:hanging="420"/>
      </w:pPr>
      <w:rPr>
        <w:rFonts w:hint="eastAsia"/>
      </w:rPr>
    </w:lvl>
    <w:lvl w:ilvl="6" w:tentative="0">
      <w:start w:val="1"/>
      <w:numFmt w:val="decimal"/>
      <w:lvlText w:val="%7."/>
      <w:lvlJc w:val="left"/>
      <w:pPr>
        <w:tabs>
          <w:tab w:val="left" w:pos="420"/>
        </w:tabs>
        <w:ind w:left="420" w:hanging="420"/>
      </w:pPr>
      <w:rPr>
        <w:rFonts w:hint="eastAsia"/>
      </w:rPr>
    </w:lvl>
    <w:lvl w:ilvl="7" w:tentative="0">
      <w:start w:val="1"/>
      <w:numFmt w:val="lowerLetter"/>
      <w:lvlText w:val="%8)"/>
      <w:lvlJc w:val="left"/>
      <w:pPr>
        <w:tabs>
          <w:tab w:val="left" w:pos="4005"/>
        </w:tabs>
        <w:ind w:left="4005" w:hanging="420"/>
      </w:pPr>
      <w:rPr>
        <w:rFonts w:hint="eastAsia"/>
      </w:rPr>
    </w:lvl>
    <w:lvl w:ilvl="8" w:tentative="0">
      <w:start w:val="1"/>
      <w:numFmt w:val="lowerRoman"/>
      <w:lvlText w:val="%9."/>
      <w:lvlJc w:val="right"/>
      <w:pPr>
        <w:tabs>
          <w:tab w:val="left" w:pos="4425"/>
        </w:tabs>
        <w:ind w:left="4425" w:hanging="420"/>
      </w:pPr>
      <w:rPr>
        <w:rFonts w:hint="eastAsia"/>
      </w:rPr>
    </w:lvl>
  </w:abstractNum>
  <w:abstractNum w:abstractNumId="27">
    <w:nsid w:val="706346FA"/>
    <w:multiLevelType w:val="multilevel"/>
    <w:tmpl w:val="706346FA"/>
    <w:lvl w:ilvl="0" w:tentative="0">
      <w:start w:val="1"/>
      <w:numFmt w:val="japaneseCounting"/>
      <w:lvlText w:val="第%1章"/>
      <w:lvlJc w:val="left"/>
      <w:pPr>
        <w:tabs>
          <w:tab w:val="left" w:pos="1605"/>
        </w:tabs>
        <w:ind w:left="1605" w:hanging="960"/>
      </w:pPr>
      <w:rPr>
        <w:rFonts w:hint="eastAsia"/>
      </w:rPr>
    </w:lvl>
    <w:lvl w:ilvl="1" w:tentative="0">
      <w:start w:val="1"/>
      <w:numFmt w:val="japaneseCounting"/>
      <w:lvlText w:val="%2、"/>
      <w:lvlJc w:val="left"/>
      <w:pPr>
        <w:tabs>
          <w:tab w:val="left" w:pos="1365"/>
        </w:tabs>
        <w:ind w:left="1365" w:hanging="525"/>
      </w:pPr>
      <w:rPr>
        <w:rFonts w:hint="default"/>
      </w:rPr>
    </w:lvl>
    <w:lvl w:ilvl="2" w:tentative="0">
      <w:start w:val="1"/>
      <w:numFmt w:val="lowerRoman"/>
      <w:lvlText w:val="%3."/>
      <w:lvlJc w:val="right"/>
      <w:pPr>
        <w:tabs>
          <w:tab w:val="left" w:pos="1905"/>
        </w:tabs>
        <w:ind w:left="1905" w:hanging="420"/>
      </w:pPr>
      <w:rPr>
        <w:rFonts w:hint="eastAsia"/>
      </w:rPr>
    </w:lvl>
    <w:lvl w:ilvl="3" w:tentative="0">
      <w:start w:val="1"/>
      <w:numFmt w:val="decimal"/>
      <w:lvlText w:val="%4."/>
      <w:lvlJc w:val="left"/>
      <w:pPr>
        <w:tabs>
          <w:tab w:val="left" w:pos="0"/>
        </w:tabs>
        <w:ind w:left="0" w:firstLine="420"/>
      </w:pPr>
      <w:rPr>
        <w:rFonts w:hint="eastAsia"/>
        <w:sz w:val="21"/>
        <w:szCs w:val="21"/>
      </w:rPr>
    </w:lvl>
    <w:lvl w:ilvl="4" w:tentative="0">
      <w:start w:val="1"/>
      <w:numFmt w:val="lowerLetter"/>
      <w:lvlText w:val="%5)"/>
      <w:lvlJc w:val="left"/>
      <w:pPr>
        <w:tabs>
          <w:tab w:val="left" w:pos="2745"/>
        </w:tabs>
        <w:ind w:left="2745" w:hanging="420"/>
      </w:pPr>
      <w:rPr>
        <w:rFonts w:hint="eastAsia"/>
      </w:rPr>
    </w:lvl>
    <w:lvl w:ilvl="5" w:tentative="0">
      <w:start w:val="1"/>
      <w:numFmt w:val="lowerRoman"/>
      <w:lvlText w:val="%6."/>
      <w:lvlJc w:val="right"/>
      <w:pPr>
        <w:tabs>
          <w:tab w:val="left" w:pos="3165"/>
        </w:tabs>
        <w:ind w:left="3165" w:hanging="420"/>
      </w:pPr>
      <w:rPr>
        <w:rFonts w:hint="eastAsia"/>
      </w:rPr>
    </w:lvl>
    <w:lvl w:ilvl="6" w:tentative="0">
      <w:start w:val="1"/>
      <w:numFmt w:val="decimal"/>
      <w:lvlText w:val="%7."/>
      <w:lvlJc w:val="left"/>
      <w:pPr>
        <w:tabs>
          <w:tab w:val="left" w:pos="420"/>
        </w:tabs>
        <w:ind w:left="420" w:hanging="420"/>
      </w:pPr>
      <w:rPr>
        <w:rFonts w:hint="eastAsia"/>
      </w:rPr>
    </w:lvl>
    <w:lvl w:ilvl="7" w:tentative="0">
      <w:start w:val="1"/>
      <w:numFmt w:val="lowerLetter"/>
      <w:lvlText w:val="%8)"/>
      <w:lvlJc w:val="left"/>
      <w:pPr>
        <w:tabs>
          <w:tab w:val="left" w:pos="4005"/>
        </w:tabs>
        <w:ind w:left="4005" w:hanging="420"/>
      </w:pPr>
      <w:rPr>
        <w:rFonts w:hint="eastAsia"/>
      </w:rPr>
    </w:lvl>
    <w:lvl w:ilvl="8" w:tentative="0">
      <w:start w:val="1"/>
      <w:numFmt w:val="lowerRoman"/>
      <w:lvlText w:val="%9."/>
      <w:lvlJc w:val="right"/>
      <w:pPr>
        <w:tabs>
          <w:tab w:val="left" w:pos="4425"/>
        </w:tabs>
        <w:ind w:left="4425" w:hanging="420"/>
      </w:pPr>
      <w:rPr>
        <w:rFonts w:hint="eastAsia"/>
      </w:rPr>
    </w:lvl>
  </w:abstractNum>
  <w:num w:numId="1">
    <w:abstractNumId w:val="11"/>
  </w:num>
  <w:num w:numId="2">
    <w:abstractNumId w:val="23"/>
  </w:num>
  <w:num w:numId="3">
    <w:abstractNumId w:val="5"/>
  </w:num>
  <w:num w:numId="4">
    <w:abstractNumId w:val="27"/>
  </w:num>
  <w:num w:numId="5">
    <w:abstractNumId w:val="6"/>
  </w:num>
  <w:num w:numId="6">
    <w:abstractNumId w:val="8"/>
  </w:num>
  <w:num w:numId="7">
    <w:abstractNumId w:val="20"/>
  </w:num>
  <w:num w:numId="8">
    <w:abstractNumId w:val="19"/>
  </w:num>
  <w:num w:numId="9">
    <w:abstractNumId w:val="22"/>
  </w:num>
  <w:num w:numId="10">
    <w:abstractNumId w:val="4"/>
  </w:num>
  <w:num w:numId="11">
    <w:abstractNumId w:val="25"/>
  </w:num>
  <w:num w:numId="12">
    <w:abstractNumId w:val="14"/>
  </w:num>
  <w:num w:numId="13">
    <w:abstractNumId w:val="18"/>
  </w:num>
  <w:num w:numId="14">
    <w:abstractNumId w:val="9"/>
  </w:num>
  <w:num w:numId="15">
    <w:abstractNumId w:val="26"/>
  </w:num>
  <w:num w:numId="16">
    <w:abstractNumId w:val="7"/>
  </w:num>
  <w:num w:numId="17">
    <w:abstractNumId w:val="2"/>
  </w:num>
  <w:num w:numId="18">
    <w:abstractNumId w:val="3"/>
  </w:num>
  <w:num w:numId="19">
    <w:abstractNumId w:val="12"/>
  </w:num>
  <w:num w:numId="20">
    <w:abstractNumId w:val="10"/>
  </w:num>
  <w:num w:numId="21">
    <w:abstractNumId w:val="21"/>
  </w:num>
  <w:num w:numId="22">
    <w:abstractNumId w:val="13"/>
  </w:num>
  <w:num w:numId="23">
    <w:abstractNumId w:val="15"/>
  </w:num>
  <w:num w:numId="24">
    <w:abstractNumId w:val="16"/>
  </w:num>
  <w:num w:numId="25">
    <w:abstractNumId w:val="17"/>
  </w:num>
  <w:num w:numId="26">
    <w:abstractNumId w:val="24"/>
  </w:num>
  <w:num w:numId="27">
    <w:abstractNumId w:val="0"/>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FE7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ind w:firstLine="200" w:firstLineChars="200"/>
    </w:pPr>
    <w:rPr>
      <w:rFonts w:ascii="宋体" w:hAnsi="宋体" w:eastAsia="宋体" w:cs="Times New Roman"/>
      <w:sz w:val="24"/>
      <w:szCs w:val="22"/>
      <w:lang w:val="en-US" w:eastAsia="zh-CN" w:bidi="ar-SA"/>
    </w:rPr>
  </w:style>
  <w:style w:type="paragraph" w:styleId="4">
    <w:name w:val="heading 2"/>
    <w:basedOn w:val="1"/>
    <w:next w:val="1"/>
    <w:qFormat/>
    <w:uiPriority w:val="0"/>
    <w:pPr>
      <w:numPr>
        <w:ilvl w:val="1"/>
        <w:numId w:val="1"/>
      </w:numPr>
      <w:tabs>
        <w:tab w:val="left" w:pos="567"/>
      </w:tabs>
      <w:spacing w:after="156" w:afterLines="50"/>
      <w:ind w:firstLineChars="0"/>
      <w:outlineLvl w:val="1"/>
    </w:pPr>
    <w:rPr>
      <w:rFonts w:ascii="Cambria" w:hAnsi="Cambria"/>
      <w:bCs/>
      <w:szCs w:val="26"/>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spacing w:before="0" w:after="120"/>
      <w:ind w:left="0" w:firstLine="420" w:firstLineChars="100"/>
      <w:jc w:val="both"/>
    </w:pPr>
    <w:rPr>
      <w:rFonts w:ascii="Times New Roman" w:hAnsi="Times New Roman" w:cs="Times New Roman"/>
      <w:kern w:val="2"/>
      <w:sz w:val="21"/>
      <w:lang w:eastAsia="zh-CN"/>
    </w:rPr>
  </w:style>
  <w:style w:type="paragraph" w:styleId="3">
    <w:name w:val="Body Text"/>
    <w:basedOn w:val="1"/>
    <w:uiPriority w:val="1"/>
    <w:pPr>
      <w:spacing w:after="120"/>
    </w:pPr>
    <w:rPr>
      <w:rFonts w:ascii="Calibri" w:hAnsi="Calibri"/>
      <w:kern w:val="2"/>
      <w:sz w:val="28"/>
      <w:szCs w:val="24"/>
    </w:rPr>
  </w:style>
  <w:style w:type="paragraph" w:styleId="5">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Calibri" w:hAnsi="Calibri" w:eastAsia="宋体"/>
      <w:kern w:val="2"/>
      <w:sz w:val="18"/>
      <w:szCs w:val="18"/>
    </w:rPr>
  </w:style>
  <w:style w:type="paragraph" w:styleId="6">
    <w:name w:val="Normal (Web)"/>
    <w:basedOn w:val="1"/>
    <w:qFormat/>
    <w:uiPriority w:val="99"/>
    <w:pPr>
      <w:widowControl/>
      <w:spacing w:before="100" w:beforeAutospacing="1" w:after="100" w:afterAutospacing="1"/>
      <w:jc w:val="left"/>
    </w:pPr>
    <w:rPr>
      <w:rFonts w:hint="eastAsia" w:ascii="宋体" w:hAnsi="宋体"/>
      <w:kern w:val="0"/>
      <w:sz w:val="24"/>
    </w:rPr>
  </w:style>
  <w:style w:type="paragraph" w:customStyle="1" w:styleId="9">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2025-07-02T00:46:15Z</dcterms:created>
  <dc:creator>Administrator</dc:creator>
  <cp:lastModifiedBy>Jade </cp:lastModifiedBy>
  <dcterms:modified xsi:type="dcterms:W3CDTF">2025-07-02T00:46:35Z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eyJoZGlkIjoiZDY2N2M0YWJhYWY5NDc5MzU2M2Q0ZDU4ZTBkMzMxNWQiLCJ1c2VySWQiOiI3MTkwMDU1MzcifQ==</vt:lpwstr>
  </property>
  <property fmtid="{D5CDD505-2E9C-101B-9397-08002B2CF9AE}" pid="4" name="ICV">
    <vt:lpwstr>B141E6E2EAFD4387B79274D1B7E214C1_12</vt:lpwstr>
  </property>
</Properties>
</file>