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45B368">
      <w:pPr>
        <w:pStyle w:val="4"/>
        <w:spacing w:before="29" w:line="440" w:lineRule="exact"/>
        <w:ind w:left="0" w:right="18"/>
        <w:jc w:val="left"/>
        <w:rPr>
          <w:rFonts w:hint="default" w:eastAsia="宋体"/>
          <w:sz w:val="36"/>
          <w:szCs w:val="36"/>
          <w:lang w:val="en-US" w:eastAsia="zh-CN"/>
        </w:rPr>
      </w:pPr>
      <w:r>
        <w:rPr>
          <w:rFonts w:hint="eastAsia" w:eastAsia="宋体"/>
          <w:sz w:val="36"/>
          <w:szCs w:val="36"/>
          <w:lang w:val="en-US" w:eastAsia="zh-CN"/>
        </w:rPr>
        <w:t>附件2：</w:t>
      </w:r>
    </w:p>
    <w:p w14:paraId="698DE3BA">
      <w:pPr>
        <w:pStyle w:val="2"/>
        <w:jc w:val="center"/>
        <w:rPr>
          <w:rFonts w:ascii="宋体" w:hAnsi="宋体" w:eastAsia="宋体" w:cs="宋体"/>
          <w:highlight w:val="none"/>
        </w:rPr>
      </w:pPr>
      <w:bookmarkStart w:id="0" w:name="_Toc14226"/>
      <w:bookmarkStart w:id="1" w:name="_Toc4573"/>
      <w:r>
        <w:rPr>
          <w:rFonts w:hint="eastAsia" w:ascii="宋体" w:hAnsi="宋体" w:eastAsia="宋体" w:cs="宋体"/>
          <w:highlight w:val="none"/>
        </w:rPr>
        <w:t xml:space="preserve"> 评标办法及评分标准</w:t>
      </w:r>
      <w:bookmarkEnd w:id="0"/>
      <w:bookmarkEnd w:id="1"/>
    </w:p>
    <w:p w14:paraId="2F458166">
      <w:pPr>
        <w:spacing w:line="360" w:lineRule="auto"/>
        <w:rPr>
          <w:rFonts w:ascii="宋体" w:hAnsi="宋体" w:eastAsia="宋体" w:cs="宋体"/>
          <w:b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sz w:val="24"/>
          <w:szCs w:val="24"/>
          <w:highlight w:val="none"/>
        </w:rPr>
        <w:t xml:space="preserve">1．评审办法 </w:t>
      </w:r>
    </w:p>
    <w:p w14:paraId="55B4119B">
      <w:pPr>
        <w:adjustRightInd w:val="0"/>
        <w:snapToGrid w:val="0"/>
        <w:spacing w:line="360" w:lineRule="auto"/>
        <w:ind w:left="1" w:firstLine="480" w:firstLineChars="200"/>
        <w:rPr>
          <w:rFonts w:ascii="宋体" w:hAnsi="宋体" w:eastAsia="宋体" w:cs="宋体"/>
          <w:sz w:val="24"/>
          <w:highlight w:val="none"/>
        </w:rPr>
      </w:pPr>
      <w:r>
        <w:rPr>
          <w:rFonts w:hint="eastAsia" w:ascii="宋体" w:hAnsi="宋体" w:eastAsia="宋体" w:cs="宋体"/>
          <w:sz w:val="24"/>
          <w:highlight w:val="none"/>
        </w:rPr>
        <w:t>1.本次招标采用百分制综合评分法进行评标，即在最大限度地满足招标文件实质性要求前提下，按照招标文件中规定的各项因素进行综合评审后，以评标得分最高的投标人作为中标单位的评标办法。</w:t>
      </w:r>
    </w:p>
    <w:p w14:paraId="3DA9CB8E">
      <w:pPr>
        <w:adjustRightInd w:val="0"/>
        <w:snapToGrid w:val="0"/>
        <w:spacing w:line="360" w:lineRule="auto"/>
        <w:ind w:firstLine="480" w:firstLineChars="200"/>
        <w:rPr>
          <w:rFonts w:ascii="宋体" w:hAnsi="宋体" w:eastAsia="宋体" w:cs="宋体"/>
          <w:sz w:val="24"/>
          <w:highlight w:val="none"/>
        </w:rPr>
      </w:pPr>
      <w:r>
        <w:rPr>
          <w:rFonts w:hint="eastAsia" w:ascii="宋体" w:hAnsi="宋体" w:eastAsia="宋体" w:cs="宋体"/>
          <w:sz w:val="24"/>
          <w:highlight w:val="none"/>
        </w:rPr>
        <w:t>2.经评审合格的投标文件，评标小组按综合评标得分从高到低的顺序依次推荐3名中标候选人。排名第一的为首选中标人，依次类推第二、第三中标候选人。</w:t>
      </w:r>
    </w:p>
    <w:p w14:paraId="13720338">
      <w:pPr>
        <w:adjustRightInd w:val="0"/>
        <w:snapToGrid w:val="0"/>
        <w:spacing w:line="360" w:lineRule="auto"/>
        <w:ind w:left="210" w:leftChars="100" w:firstLine="240" w:firstLineChars="100"/>
        <w:rPr>
          <w:rFonts w:ascii="宋体" w:hAnsi="宋体" w:eastAsia="宋体" w:cs="宋体"/>
          <w:sz w:val="24"/>
          <w:highlight w:val="none"/>
        </w:rPr>
      </w:pPr>
      <w:r>
        <w:rPr>
          <w:rFonts w:hint="eastAsia" w:ascii="宋体" w:hAnsi="宋体" w:eastAsia="宋体" w:cs="宋体"/>
          <w:sz w:val="24"/>
          <w:highlight w:val="none"/>
        </w:rPr>
        <w:t>3.评标小组完成评标后，应当向招标人提交书面评标报告。</w:t>
      </w:r>
    </w:p>
    <w:p w14:paraId="6177CDA9">
      <w:pPr>
        <w:spacing w:line="360" w:lineRule="auto"/>
        <w:rPr>
          <w:rFonts w:ascii="宋体" w:hAnsi="宋体" w:eastAsia="宋体" w:cs="宋体"/>
          <w:b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sz w:val="24"/>
          <w:szCs w:val="24"/>
          <w:highlight w:val="none"/>
        </w:rPr>
        <w:t>2、例外情况</w:t>
      </w:r>
    </w:p>
    <w:p w14:paraId="7E0556FC">
      <w:pPr>
        <w:adjustRightInd w:val="0"/>
        <w:snapToGrid w:val="0"/>
        <w:spacing w:line="360" w:lineRule="auto"/>
        <w:ind w:left="210" w:leftChars="100" w:firstLine="240" w:firstLineChars="100"/>
        <w:rPr>
          <w:rFonts w:ascii="宋体" w:hAnsi="宋体" w:eastAsia="宋体" w:cs="宋体"/>
          <w:sz w:val="24"/>
          <w:highlight w:val="none"/>
        </w:rPr>
      </w:pPr>
      <w:r>
        <w:rPr>
          <w:rFonts w:hint="eastAsia" w:ascii="宋体" w:hAnsi="宋体" w:eastAsia="宋体" w:cs="宋体"/>
          <w:sz w:val="24"/>
          <w:highlight w:val="none"/>
        </w:rPr>
        <w:t>2.1当出现投标人综合得分相等时，按下列顺序排序：“报价部分”得分高的优先；仍相同时，“技术方案” 得分高的优先；依然相同时，由评标小组现场抽签确定顺序。</w:t>
      </w:r>
    </w:p>
    <w:p w14:paraId="34AEE42B">
      <w:pPr>
        <w:spacing w:line="520" w:lineRule="exact"/>
        <w:jc w:val="left"/>
        <w:rPr>
          <w:rFonts w:ascii="宋体" w:hAnsi="宋体" w:eastAsia="宋体" w:cs="宋体"/>
          <w:b/>
          <w:bCs/>
          <w:sz w:val="24"/>
          <w:szCs w:val="24"/>
          <w:highlight w:val="none"/>
          <w:lang w:bidi="ar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highlight w:val="none"/>
          <w:lang w:bidi="ar"/>
        </w:rPr>
        <w:t>详细评分表</w:t>
      </w:r>
    </w:p>
    <w:tbl>
      <w:tblPr>
        <w:tblStyle w:val="5"/>
        <w:tblW w:w="943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1155"/>
        <w:gridCol w:w="1002"/>
        <w:gridCol w:w="5970"/>
      </w:tblGrid>
      <w:tr w14:paraId="677FF9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1660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评分</w:t>
            </w:r>
          </w:p>
        </w:tc>
        <w:tc>
          <w:tcPr>
            <w:tcW w:w="21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E975BA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评分因素</w:t>
            </w:r>
          </w:p>
        </w:tc>
        <w:tc>
          <w:tcPr>
            <w:tcW w:w="5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2D02A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评分标准</w:t>
            </w:r>
          </w:p>
        </w:tc>
      </w:tr>
      <w:tr w14:paraId="692317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130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F6966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技术</w:t>
            </w:r>
          </w:p>
          <w:p w14:paraId="0150ED0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评分</w:t>
            </w:r>
          </w:p>
          <w:p w14:paraId="15F3984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分）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1435AE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工程概况</w:t>
            </w:r>
          </w:p>
          <w:p w14:paraId="3B282ED3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892C2E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分</w:t>
            </w:r>
          </w:p>
        </w:tc>
        <w:tc>
          <w:tcPr>
            <w:tcW w:w="5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242B8C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结合本工程的特点描述准确、清晰的得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-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分；描述基本准确、清晰的得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-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 xml:space="preserve"> 分；描述不准确的不得分。 </w:t>
            </w:r>
          </w:p>
        </w:tc>
      </w:tr>
      <w:tr w14:paraId="28CDBE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</w:trPr>
        <w:tc>
          <w:tcPr>
            <w:tcW w:w="130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C9FD28"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276F69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eastAsia="zh-CN" w:bidi="ar"/>
              </w:rPr>
              <w:t>工程方案</w:t>
            </w:r>
          </w:p>
          <w:p w14:paraId="01F371C0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676AD1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分</w:t>
            </w:r>
          </w:p>
        </w:tc>
        <w:tc>
          <w:tcPr>
            <w:tcW w:w="5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45BEF1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eastAsia="zh-CN" w:bidi="ar"/>
              </w:rPr>
              <w:t>基于现有方案设计，提供合理、先进的实施方案，施工设备及人员配合，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计划科学、合理、针对性强的得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8-10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分；合理、可行的得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6-8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 xml:space="preserve">分；不合理、不可行的不得分。 </w:t>
            </w:r>
          </w:p>
        </w:tc>
      </w:tr>
      <w:tr w14:paraId="71184F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</w:trPr>
        <w:tc>
          <w:tcPr>
            <w:tcW w:w="130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95B7B1"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693C6E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施工进度计划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E5B917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5分</w:t>
            </w:r>
          </w:p>
        </w:tc>
        <w:tc>
          <w:tcPr>
            <w:tcW w:w="5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852ADD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eastAsia="zh-CN" w:bidi="ar"/>
              </w:rPr>
              <w:t>安排的进度计划、工期安排有针对性、合理、可行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4-5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eastAsia="zh-CN" w:bidi="ar"/>
              </w:rPr>
              <w:t>分；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基本可行3-4分，不可行不得分。</w:t>
            </w:r>
          </w:p>
        </w:tc>
      </w:tr>
      <w:tr w14:paraId="44903B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130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EC45B9"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3D4426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质量保障措施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1303AF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eastAsia="zh-CN" w:bidi="ar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分</w:t>
            </w:r>
          </w:p>
        </w:tc>
        <w:tc>
          <w:tcPr>
            <w:tcW w:w="5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C2F43D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eastAsia="zh-CN" w:bidi="ar"/>
              </w:rPr>
              <w:t>质量保证体系完整，措施且具针对性和可行性，确保工程质量的技术组织措施，使用的新技术、新工艺须有简要描述说明，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措施优，针对性强的得4-5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分；基本可行的得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3-4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 xml:space="preserve">分；不合理、不可行的不得分。 </w:t>
            </w:r>
          </w:p>
        </w:tc>
      </w:tr>
      <w:tr w14:paraId="14EFCC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2" w:hRule="atLeast"/>
        </w:trPr>
        <w:tc>
          <w:tcPr>
            <w:tcW w:w="130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D56CC0"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9BFD77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施工准备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eastAsia="zh-CN" w:bidi="ar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现场平面布置</w:t>
            </w:r>
          </w:p>
          <w:p w14:paraId="36778879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D7127C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5分</w:t>
            </w:r>
          </w:p>
        </w:tc>
        <w:tc>
          <w:tcPr>
            <w:tcW w:w="5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4CEAEA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施工程序、准备符合施工规程规范及施工现场条件的要求，施工现场布置合理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eastAsia="zh-CN" w:bidi="ar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科学、合理、针对性强的得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4-5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分；基本合理、可行的得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3-4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 xml:space="preserve">分；不合理、不可行的不得分。 </w:t>
            </w:r>
          </w:p>
        </w:tc>
      </w:tr>
      <w:tr w14:paraId="03A462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2" w:hRule="atLeast"/>
        </w:trPr>
        <w:tc>
          <w:tcPr>
            <w:tcW w:w="130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93A62F">
            <w:pPr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58E11A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确保安全生产与文明施工的</w:t>
            </w:r>
          </w:p>
          <w:p w14:paraId="3AC43915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技术组织措施</w:t>
            </w:r>
          </w:p>
          <w:p w14:paraId="1EF2520D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4B51DA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5分</w:t>
            </w:r>
          </w:p>
        </w:tc>
        <w:tc>
          <w:tcPr>
            <w:tcW w:w="5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80DF1D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zh-TW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针对本项目的文明施工体系完整，有针对性和可行性，特别是施工期间的劳动安全、防疫措施等。提供现场标识牌、围栏防护样式，计划详细组织措施描述清晰、详尽，管理措施具有可行性、可操作性的得4-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分；有组织措施且描述基本清晰的得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3-4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 xml:space="preserve"> 分；组织措施描述不清晰，有明显缺陷的不得分。 </w:t>
            </w:r>
          </w:p>
        </w:tc>
      </w:tr>
      <w:tr w14:paraId="3481C6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2" w:hRule="atLeast"/>
        </w:trPr>
        <w:tc>
          <w:tcPr>
            <w:tcW w:w="130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B176B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商务</w:t>
            </w:r>
          </w:p>
          <w:p w14:paraId="40D9ECA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评分</w:t>
            </w:r>
          </w:p>
          <w:p w14:paraId="341F82C3">
            <w:pPr>
              <w:jc w:val="center"/>
              <w:rPr>
                <w:rFonts w:ascii="宋体" w:hAnsi="宋体" w:eastAsia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分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BA1C38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类似业绩</w:t>
            </w:r>
          </w:p>
          <w:p w14:paraId="409D1E54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249FEB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eastAsia="zh-CN" w:bidi="ar"/>
              </w:rPr>
              <w:t>15分</w:t>
            </w:r>
          </w:p>
        </w:tc>
        <w:tc>
          <w:tcPr>
            <w:tcW w:w="5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F76ED4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eastAsia="zh-CN" w:bidi="ar"/>
              </w:rPr>
              <w:t>投标人近五年（20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20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eastAsia="zh-CN" w:bidi="ar"/>
              </w:rPr>
              <w:t>年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eastAsia="zh-CN" w:bidi="ar"/>
              </w:rPr>
              <w:t>月至今），承担过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40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eastAsia="zh-CN" w:bidi="ar"/>
              </w:rPr>
              <w:t>万元及以上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工程业绩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eastAsia="zh-CN" w:bidi="ar"/>
              </w:rPr>
              <w:t>，有1个加5分，最高加15分；</w:t>
            </w:r>
          </w:p>
          <w:p w14:paraId="141E7D34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需为已完工项目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eastAsia="zh-CN" w:bidi="ar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（须提供中标通知书或合同且需提供完工验收证明文件，业绩以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合同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落款时间为准）</w:t>
            </w:r>
          </w:p>
        </w:tc>
      </w:tr>
      <w:tr w14:paraId="238346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4" w:hRule="atLeast"/>
        </w:trPr>
        <w:tc>
          <w:tcPr>
            <w:tcW w:w="130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DEEB2A">
            <w:pPr>
              <w:jc w:val="center"/>
              <w:rPr>
                <w:rFonts w:ascii="宋体" w:hAnsi="宋体" w:eastAsia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EC1375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项目经理</w:t>
            </w:r>
          </w:p>
          <w:p w14:paraId="1BC2357F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550D7C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10分</w:t>
            </w:r>
          </w:p>
        </w:tc>
        <w:tc>
          <w:tcPr>
            <w:tcW w:w="5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962D4E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1项目经理具有中级职称的得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分，具有高级职称的得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分；提供相关职称证明材料，未提供不得分；</w:t>
            </w:r>
          </w:p>
          <w:p w14:paraId="3B8CDDF7">
            <w:pPr>
              <w:widowControl/>
              <w:numPr>
                <w:ilvl w:val="0"/>
                <w:numId w:val="1"/>
              </w:numPr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近3 年(20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22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年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月至投标截止日)承担过1项工程业绩的，得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分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eastAsia="zh-CN" w:bidi="ar"/>
              </w:rPr>
              <w:t>。</w:t>
            </w:r>
          </w:p>
          <w:p w14:paraId="421E9A3E">
            <w:pPr>
              <w:widowControl/>
              <w:numPr>
                <w:ilvl w:val="0"/>
                <w:numId w:val="0"/>
              </w:numPr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需提供项目经理在本单位近六个月缴纳社保证明，否则不得分。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本项最多得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10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分</w:t>
            </w:r>
          </w:p>
        </w:tc>
      </w:tr>
      <w:tr w14:paraId="621ACE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0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301E7D">
            <w:pPr>
              <w:jc w:val="center"/>
              <w:rPr>
                <w:rFonts w:ascii="宋体" w:hAnsi="宋体" w:eastAsia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364F4C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人员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AB1410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bidi="ar"/>
              </w:rPr>
              <w:t>8分</w:t>
            </w:r>
          </w:p>
        </w:tc>
        <w:tc>
          <w:tcPr>
            <w:tcW w:w="5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1DAEC5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eastAsia="zh-CN" w:bidi="ar"/>
              </w:rPr>
              <w:t>项目团队成员中有施工员、质量员、材料员、资料员和安全员，每个得2分，最多得8分，不具备的不得分。</w:t>
            </w:r>
          </w:p>
          <w:p w14:paraId="06587349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eastAsia="zh-CN" w:bidi="ar"/>
              </w:rPr>
              <w:t>（投标人提供相关人员的职称证书或执业证书）</w:t>
            </w:r>
          </w:p>
          <w:p w14:paraId="3A221F84">
            <w:pPr>
              <w:pStyle w:val="7"/>
              <w:ind w:left="0" w:leftChars="0" w:firstLine="0" w:firstLineChars="0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需提供以上人员在本单位近六个月缴纳社保证明，否则不得分。</w:t>
            </w:r>
          </w:p>
        </w:tc>
      </w:tr>
      <w:tr w14:paraId="7F65FF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0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33EB36">
            <w:pPr>
              <w:jc w:val="center"/>
              <w:rPr>
                <w:rFonts w:ascii="宋体" w:hAnsi="宋体" w:eastAsia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108A6F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信用情况</w:t>
            </w:r>
          </w:p>
          <w:p w14:paraId="7306008E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</w:pP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8C289C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2分</w:t>
            </w:r>
          </w:p>
        </w:tc>
        <w:tc>
          <w:tcPr>
            <w:tcW w:w="5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9B07DF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highlight w:val="none"/>
                <w:lang w:val="en-US" w:eastAsia="zh-CN" w:bidi="ar"/>
              </w:rPr>
              <w:t>未收到建设行政监管部门做出的行政处罚的得2分；有一项扣1分，扣完为止。（查询结果以评标委员会开标当天在“信用中国”查询投标人有行政处罚记录信息且在公示期内的予以记分）不重复扣分，扣完为止。注：行政处罚是指投标人因违法经营受到刑事处罚或者责令停产、停业整顿、吊销许可证或者执照、较大数额罚款（在人民币5万元以上）等行政处罚。</w:t>
            </w:r>
          </w:p>
        </w:tc>
      </w:tr>
      <w:tr w14:paraId="4CFF06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2" w:hRule="atLeast"/>
        </w:trPr>
        <w:tc>
          <w:tcPr>
            <w:tcW w:w="24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62272C">
            <w:pPr>
              <w:jc w:val="center"/>
              <w:rPr>
                <w:rFonts w:ascii="宋体" w:hAnsi="宋体" w:eastAsia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highlight w:val="none"/>
              </w:rPr>
              <w:t>报价</w:t>
            </w:r>
          </w:p>
          <w:p w14:paraId="73C3FE08">
            <w:pPr>
              <w:jc w:val="center"/>
              <w:rPr>
                <w:rFonts w:ascii="宋体" w:hAnsi="宋体" w:eastAsia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highlight w:val="none"/>
              </w:rPr>
              <w:t>得分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BBE2C1">
            <w:pPr>
              <w:jc w:val="center"/>
              <w:rPr>
                <w:rFonts w:ascii="宋体" w:hAnsi="宋体" w:eastAsia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highlight w:val="none"/>
              </w:rPr>
              <w:t>30分</w:t>
            </w:r>
          </w:p>
        </w:tc>
        <w:tc>
          <w:tcPr>
            <w:tcW w:w="5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93171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highlight w:val="none"/>
                <w:lang w:bidi="ar"/>
              </w:rPr>
            </w:pPr>
            <w:r>
              <w:rPr>
                <w:rFonts w:hint="eastAsia" w:ascii="宋体" w:hAnsi="宋体" w:eastAsia="宋体" w:cs="新宋体"/>
                <w:snapToGrid/>
                <w:spacing w:val="8"/>
                <w:kern w:val="0"/>
                <w:sz w:val="21"/>
                <w:szCs w:val="21"/>
                <w:highlight w:val="none"/>
                <w:lang w:val="en-US" w:eastAsia="zh-CN" w:bidi="ar-SA"/>
              </w:rPr>
              <w:t>基准价为评审合格的投标人投标报价去掉一个最高价、一个最低价的平均值（少于或等于5家的，直接取平均值）。投标人报价比评标基准价每高出1%扣0.8分，扣完为止；投标人报价比评标基准价每低1%扣0.5分，扣完为止；由此得出各投标人的投标报价得分（保留小数点后两位数字，第三位四舍五入），投标价得分的计算方法：30-丨（评标基准价-投标人报价）/评标基准价丨×100×E，E取值0.8或0.5</w:t>
            </w:r>
          </w:p>
        </w:tc>
      </w:tr>
    </w:tbl>
    <w:p w14:paraId="2B4EDBCC">
      <w:pPr>
        <w:jc w:val="center"/>
        <w:outlineLvl w:val="9"/>
        <w:rPr>
          <w:rFonts w:hint="eastAsia" w:ascii="宋体" w:hAnsi="宋体" w:eastAsia="宋体" w:cs="宋体"/>
          <w:b/>
          <w:sz w:val="36"/>
          <w:szCs w:val="36"/>
          <w:highlight w:val="none"/>
          <w:lang w:bidi="ar"/>
        </w:rPr>
      </w:pPr>
      <w:bookmarkStart w:id="2" w:name="_Toc7739"/>
    </w:p>
    <w:p w14:paraId="3BCD3694">
      <w:pPr>
        <w:adjustRightInd w:val="0"/>
        <w:snapToGrid w:val="0"/>
        <w:spacing w:line="360" w:lineRule="auto"/>
        <w:ind w:left="210" w:leftChars="100" w:firstLine="240" w:firstLineChars="100"/>
        <w:rPr>
          <w:rFonts w:hint="eastAsia" w:ascii="宋体" w:hAnsi="宋体" w:eastAsia="宋体" w:cs="宋体"/>
          <w:sz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4"/>
          <w:highlight w:val="none"/>
          <w:lang w:val="en-US" w:eastAsia="zh-CN"/>
        </w:rPr>
        <w:t>3、评标办法（综合评分法）</w:t>
      </w:r>
    </w:p>
    <w:p w14:paraId="478E8820">
      <w:pPr>
        <w:adjustRightInd w:val="0"/>
        <w:snapToGrid w:val="0"/>
        <w:spacing w:line="360" w:lineRule="auto"/>
        <w:ind w:left="210" w:leftChars="100" w:firstLine="240" w:firstLineChars="100"/>
        <w:rPr>
          <w:rFonts w:hint="eastAsia" w:ascii="宋体" w:hAnsi="宋体" w:eastAsia="宋体" w:cs="宋体"/>
          <w:sz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4"/>
          <w:highlight w:val="none"/>
          <w:lang w:val="en-US" w:eastAsia="zh-CN"/>
        </w:rPr>
        <w:t>1．评委按照招标文件要求和本评分办法的有关规定，给各投标人分别打分，并按下列公式确定各投标人的评定分数：评定分数=投标报价得分+商务部分得分+技术部分得分。</w:t>
      </w:r>
    </w:p>
    <w:p w14:paraId="7F6BB25C">
      <w:pPr>
        <w:adjustRightInd w:val="0"/>
        <w:snapToGrid w:val="0"/>
        <w:spacing w:line="360" w:lineRule="auto"/>
        <w:ind w:left="210" w:leftChars="100" w:firstLine="240" w:firstLineChars="100"/>
        <w:rPr>
          <w:rFonts w:hint="eastAsia" w:ascii="宋体" w:hAnsi="宋体" w:eastAsia="宋体" w:cs="宋体"/>
          <w:sz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4"/>
          <w:highlight w:val="none"/>
          <w:lang w:val="en-US" w:eastAsia="zh-CN"/>
        </w:rPr>
        <w:t>2．各投标人的最终得分为各评委所评定分数的算术平均值。</w:t>
      </w:r>
    </w:p>
    <w:p w14:paraId="06DB7807">
      <w:pPr>
        <w:adjustRightInd w:val="0"/>
        <w:snapToGrid w:val="0"/>
        <w:spacing w:line="360" w:lineRule="auto"/>
        <w:ind w:left="210" w:leftChars="100" w:firstLine="240" w:firstLineChars="100"/>
        <w:rPr>
          <w:rFonts w:hint="eastAsia" w:ascii="宋体" w:hAnsi="宋体" w:eastAsia="宋体" w:cs="宋体"/>
          <w:sz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4"/>
          <w:highlight w:val="none"/>
          <w:lang w:val="en-US" w:eastAsia="zh-CN"/>
        </w:rPr>
        <w:t>3．各项统计、评分结果均按四舍五入方法精确到小数点后二位。</w:t>
      </w:r>
    </w:p>
    <w:p w14:paraId="087C6997">
      <w:pPr>
        <w:adjustRightInd w:val="0"/>
        <w:snapToGrid w:val="0"/>
        <w:spacing w:line="360" w:lineRule="auto"/>
        <w:ind w:left="210" w:leftChars="100" w:firstLine="240" w:firstLineChars="100"/>
        <w:rPr>
          <w:rFonts w:hint="eastAsia" w:ascii="宋体" w:hAnsi="宋体" w:eastAsia="宋体" w:cs="宋体"/>
          <w:sz w:val="24"/>
          <w:highlight w:val="none"/>
        </w:rPr>
      </w:pPr>
      <w:r>
        <w:rPr>
          <w:rFonts w:hint="eastAsia" w:ascii="宋体" w:hAnsi="宋体" w:eastAsia="宋体" w:cs="宋体"/>
          <w:sz w:val="24"/>
          <w:highlight w:val="none"/>
          <w:lang w:val="en-US" w:eastAsia="zh-CN"/>
        </w:rPr>
        <w:t>4．评标委员会根据投标投标人的最终得分，按从高分到低分次序确定投标人最终的排列名次，</w:t>
      </w:r>
      <w:r>
        <w:rPr>
          <w:rFonts w:hint="eastAsia" w:ascii="宋体" w:hAnsi="宋体" w:eastAsia="宋体" w:cs="宋体"/>
          <w:sz w:val="24"/>
          <w:highlight w:val="none"/>
        </w:rPr>
        <w:t>如得分相同，按投标报价由低到高排列名次，并按照招标文件中规定的评标方法</w:t>
      </w:r>
      <w:r>
        <w:rPr>
          <w:rFonts w:hint="eastAsia" w:ascii="宋体" w:hAnsi="宋体" w:eastAsia="宋体" w:cs="宋体"/>
          <w:sz w:val="24"/>
          <w:highlight w:val="none"/>
          <w:lang w:val="en-US" w:eastAsia="zh-CN"/>
        </w:rPr>
        <w:t>确定</w:t>
      </w:r>
      <w:r>
        <w:rPr>
          <w:rFonts w:hint="eastAsia" w:ascii="宋体" w:hAnsi="宋体" w:eastAsia="宋体" w:cs="宋体"/>
          <w:sz w:val="24"/>
          <w:highlight w:val="none"/>
        </w:rPr>
        <w:t>中标人。</w:t>
      </w:r>
    </w:p>
    <w:p w14:paraId="051D1F22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21" w:rightChars="10" w:firstLine="0" w:firstLineChars="0"/>
        <w:jc w:val="left"/>
        <w:textAlignment w:val="auto"/>
        <w:rPr>
          <w:rFonts w:hint="eastAsia" w:ascii="Calibri" w:hAnsi="Calibri" w:eastAsia="宋体" w:cs="Times New Roman"/>
          <w:color w:val="auto"/>
          <w:kern w:val="2"/>
          <w:sz w:val="21"/>
          <w:highlight w:val="none"/>
          <w:lang w:val="en-US" w:eastAsia="zh-CN" w:bidi="ar-SA"/>
        </w:rPr>
      </w:pPr>
    </w:p>
    <w:p w14:paraId="495ABD6B">
      <w:pPr>
        <w:jc w:val="center"/>
        <w:outlineLvl w:val="9"/>
        <w:rPr>
          <w:rFonts w:hint="eastAsia" w:ascii="宋体" w:hAnsi="宋体" w:eastAsia="宋体" w:cs="宋体"/>
          <w:b/>
          <w:sz w:val="36"/>
          <w:szCs w:val="36"/>
          <w:highlight w:val="none"/>
          <w:lang w:bidi="ar"/>
        </w:rPr>
      </w:pPr>
    </w:p>
    <w:bookmarkEnd w:id="2"/>
    <w:p w14:paraId="5462A436">
      <w:r>
        <w:rPr>
          <w:rFonts w:hint="eastAsia" w:ascii="黑体" w:hAnsi="黑体" w:eastAsia="黑体"/>
          <w:b w:val="0"/>
          <w:bCs w:val="0"/>
          <w:lang w:eastAsia="zh-CN"/>
        </w:rPr>
        <w:br w:type="page"/>
      </w:r>
      <w:bookmarkStart w:id="3" w:name="_GoBack"/>
      <w:bookmarkEnd w:id="3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D3F4A92"/>
    <w:multiLevelType w:val="singleLevel"/>
    <w:tmpl w:val="FD3F4A92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E573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Helvetica" w:hAnsi="Helvetica" w:eastAsia="宋体" w:cs="仿宋_GB2312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36"/>
      <w:szCs w:val="44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able of authorities"/>
    <w:basedOn w:val="1"/>
    <w:next w:val="1"/>
    <w:unhideWhenUsed/>
    <w:qFormat/>
    <w:uiPriority w:val="99"/>
    <w:pPr>
      <w:widowControl/>
      <w:spacing w:after="157" w:line="265" w:lineRule="auto"/>
      <w:ind w:left="420" w:leftChars="200" w:hanging="10"/>
      <w:jc w:val="left"/>
    </w:pPr>
    <w:rPr>
      <w:rFonts w:ascii="幼圆" w:hAnsi="幼圆" w:eastAsia="幼圆" w:cs="幼圆"/>
      <w:color w:val="000000"/>
    </w:rPr>
  </w:style>
  <w:style w:type="paragraph" w:styleId="4">
    <w:name w:val="Body Text"/>
    <w:basedOn w:val="1"/>
    <w:unhideWhenUsed/>
    <w:qFormat/>
    <w:uiPriority w:val="99"/>
    <w:pPr>
      <w:spacing w:after="120"/>
    </w:pPr>
    <w:rPr>
      <w:rFonts w:ascii="Cambria" w:hAnsi="Cambria" w:cs="Cambria"/>
      <w:szCs w:val="24"/>
    </w:rPr>
  </w:style>
  <w:style w:type="paragraph" w:customStyle="1" w:styleId="7">
    <w:name w:val="段"/>
    <w:next w:val="1"/>
    <w:qFormat/>
    <w:uiPriority w:val="99"/>
    <w:pPr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2025-04-08T08:08:07Z</dcterms:created>
  <dc:creator>Administrator</dc:creator>
  <cp:lastModifiedBy>可儿</cp:lastModifiedBy>
  <dcterms:modified xsi:type="dcterms:W3CDTF">2025-04-08T08:08:16Z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eyJoZGlkIjoiNmY0Y2MxMjdhY2YzZDM2MWY0NmE4YjNhNWM2MWE5MGYiLCJ1c2VySWQiOiIyNTc0MTg0NzUifQ==</vt:lpwstr>
  </property>
  <property fmtid="{D5CDD505-2E9C-101B-9397-08002B2CF9AE}" pid="4" name="ICV">
    <vt:lpwstr>A3D2EB8BD4F34DEF8A33D162AD21C9AD_12</vt:lpwstr>
  </property>
</Properties>
</file>