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CD47C">
      <w:pPr>
        <w:pStyle w:val="6"/>
        <w:spacing w:before="29" w:line="440" w:lineRule="exact"/>
        <w:ind w:left="0" w:right="18"/>
        <w:rPr>
          <w:rFonts w:hint="eastAsia"/>
          <w:color w:val="auto"/>
          <w:sz w:val="44"/>
          <w:szCs w:val="44"/>
          <w:highlight w:val="none"/>
        </w:rPr>
      </w:pPr>
      <w:r>
        <w:rPr>
          <w:rFonts w:hint="eastAsia"/>
          <w:color w:val="auto"/>
          <w:sz w:val="28"/>
          <w:szCs w:val="28"/>
          <w:highlight w:val="none"/>
        </w:rPr>
        <w:t xml:space="preserve">附件3：         </w:t>
      </w:r>
      <w:r>
        <w:rPr>
          <w:rFonts w:hint="eastAsia"/>
          <w:color w:val="auto"/>
          <w:sz w:val="44"/>
          <w:szCs w:val="44"/>
          <w:highlight w:val="none"/>
        </w:rPr>
        <w:t xml:space="preserve">     </w:t>
      </w:r>
    </w:p>
    <w:p w14:paraId="03DA9588">
      <w:pPr>
        <w:pStyle w:val="6"/>
        <w:spacing w:before="29" w:line="440" w:lineRule="exact"/>
        <w:ind w:left="0" w:right="18"/>
        <w:jc w:val="center"/>
        <w:rPr>
          <w:rFonts w:hint="eastAsia"/>
          <w:color w:val="auto"/>
          <w:sz w:val="44"/>
          <w:szCs w:val="44"/>
          <w:highlight w:val="none"/>
        </w:rPr>
      </w:pPr>
      <w:r>
        <w:rPr>
          <w:rFonts w:hint="eastAsia"/>
          <w:color w:val="auto"/>
          <w:sz w:val="44"/>
          <w:szCs w:val="44"/>
          <w:highlight w:val="none"/>
        </w:rPr>
        <w:t>评标办法</w:t>
      </w:r>
      <w:bookmarkStart w:id="0" w:name="_Toc2554"/>
    </w:p>
    <w:p w14:paraId="24E49D96">
      <w:pPr>
        <w:spacing w:before="36" w:line="440" w:lineRule="exact"/>
        <w:ind w:right="18" w:firstLine="422" w:firstLineChars="200"/>
        <w:rPr>
          <w:rFonts w:hint="eastAsia" w:ascii="宋体" w:hAnsi="宋体" w:cs="宋体"/>
          <w:b/>
          <w:bCs/>
          <w:color w:val="auto"/>
          <w:sz w:val="24"/>
          <w:highlight w:val="none"/>
        </w:rPr>
      </w:pPr>
      <w:r>
        <w:rPr>
          <w:rFonts w:hint="eastAsia"/>
          <w:b/>
          <w:bCs/>
          <w:color w:val="auto"/>
          <w:highlight w:val="none"/>
        </w:rPr>
        <w:t>一</w:t>
      </w:r>
      <w:r>
        <w:rPr>
          <w:rFonts w:hint="eastAsia" w:ascii="宋体" w:hAnsi="宋体" w:cs="宋体"/>
          <w:b/>
          <w:bCs/>
          <w:color w:val="auto"/>
          <w:sz w:val="24"/>
          <w:highlight w:val="none"/>
        </w:rPr>
        <w:t>、详细评审</w:t>
      </w:r>
    </w:p>
    <w:p w14:paraId="7F9850E7">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1.投标人投标报价高于招标控制价的为废标。</w:t>
      </w:r>
    </w:p>
    <w:p w14:paraId="5D2566B9">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2.评标委员会只对通过初步评审的投标文件进行评价和比较。</w:t>
      </w:r>
    </w:p>
    <w:p w14:paraId="1410D998">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3.本工程采用综合评分法。价格部分30分，技术部40分，商务部分30分。</w:t>
      </w:r>
    </w:p>
    <w:p w14:paraId="62FCB7E5">
      <w:pPr>
        <w:spacing w:before="36" w:line="440" w:lineRule="exact"/>
        <w:ind w:right="18"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二、评分表格</w:t>
      </w:r>
    </w:p>
    <w:bookmarkEnd w:id="0"/>
    <w:tbl>
      <w:tblPr>
        <w:tblStyle w:val="24"/>
        <w:tblW w:w="98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0"/>
        <w:gridCol w:w="1353"/>
        <w:gridCol w:w="492"/>
        <w:gridCol w:w="7332"/>
      </w:tblGrid>
      <w:tr w14:paraId="1D9915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jc w:val="center"/>
        </w:trPr>
        <w:tc>
          <w:tcPr>
            <w:tcW w:w="640" w:type="dxa"/>
            <w:vAlign w:val="center"/>
          </w:tcPr>
          <w:p w14:paraId="6167290E">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评分</w:t>
            </w:r>
          </w:p>
          <w:p w14:paraId="3D02E793">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类别</w:t>
            </w:r>
          </w:p>
        </w:tc>
        <w:tc>
          <w:tcPr>
            <w:tcW w:w="1353" w:type="dxa"/>
            <w:vAlign w:val="center"/>
          </w:tcPr>
          <w:p w14:paraId="55533B31">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评审</w:t>
            </w:r>
          </w:p>
          <w:p w14:paraId="185BD701">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因素</w:t>
            </w:r>
          </w:p>
        </w:tc>
        <w:tc>
          <w:tcPr>
            <w:tcW w:w="492" w:type="dxa"/>
            <w:vAlign w:val="center"/>
          </w:tcPr>
          <w:p w14:paraId="2ADD8030">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分值</w:t>
            </w:r>
          </w:p>
        </w:tc>
        <w:tc>
          <w:tcPr>
            <w:tcW w:w="7332" w:type="dxa"/>
            <w:vAlign w:val="center"/>
          </w:tcPr>
          <w:p w14:paraId="0FEEE045">
            <w:pPr>
              <w:pStyle w:val="6"/>
              <w:spacing w:before="29" w:line="440" w:lineRule="exact"/>
              <w:ind w:left="0" w:right="18"/>
              <w:jc w:val="center"/>
              <w:rPr>
                <w:rFonts w:hint="eastAsia"/>
                <w:b/>
                <w:bCs/>
                <w:color w:val="auto"/>
                <w:sz w:val="22"/>
                <w:szCs w:val="22"/>
                <w:highlight w:val="none"/>
                <w:lang w:val="zh-CN"/>
              </w:rPr>
            </w:pPr>
            <w:r>
              <w:rPr>
                <w:rFonts w:hint="eastAsia"/>
                <w:b/>
                <w:bCs/>
                <w:color w:val="auto"/>
                <w:sz w:val="22"/>
                <w:szCs w:val="22"/>
                <w:highlight w:val="none"/>
                <w:lang w:val="zh-CN"/>
              </w:rPr>
              <w:t>具体评审细则</w:t>
            </w:r>
          </w:p>
        </w:tc>
      </w:tr>
      <w:tr w14:paraId="305D9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40" w:type="dxa"/>
            <w:vAlign w:val="center"/>
          </w:tcPr>
          <w:p w14:paraId="57C7A204">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lang w:val="zh-CN"/>
              </w:rPr>
              <w:t>价格</w:t>
            </w:r>
          </w:p>
          <w:p w14:paraId="5C892FB3">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lang w:val="zh-CN"/>
              </w:rPr>
              <w:t>评议</w:t>
            </w:r>
          </w:p>
          <w:p w14:paraId="0B196848">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lang w:val="zh-CN"/>
              </w:rPr>
              <w:t>30分</w:t>
            </w:r>
          </w:p>
        </w:tc>
        <w:tc>
          <w:tcPr>
            <w:tcW w:w="1353" w:type="dxa"/>
            <w:vAlign w:val="center"/>
          </w:tcPr>
          <w:p w14:paraId="16A7296D">
            <w:pPr>
              <w:spacing w:line="360" w:lineRule="exact"/>
              <w:jc w:val="center"/>
              <w:rPr>
                <w:color w:val="auto"/>
                <w:highlight w:val="none"/>
              </w:rPr>
            </w:pPr>
            <w:r>
              <w:rPr>
                <w:rFonts w:hint="eastAsia"/>
                <w:color w:val="auto"/>
                <w:highlight w:val="none"/>
              </w:rPr>
              <w:t>评标</w:t>
            </w:r>
            <w:r>
              <w:rPr>
                <w:color w:val="auto"/>
                <w:highlight w:val="none"/>
              </w:rPr>
              <w:br w:type="textWrapping"/>
            </w:r>
            <w:r>
              <w:rPr>
                <w:rFonts w:hint="eastAsia"/>
                <w:color w:val="auto"/>
                <w:highlight w:val="none"/>
              </w:rPr>
              <w:t>价格</w:t>
            </w:r>
          </w:p>
        </w:tc>
        <w:tc>
          <w:tcPr>
            <w:tcW w:w="492" w:type="dxa"/>
            <w:vAlign w:val="center"/>
          </w:tcPr>
          <w:p w14:paraId="0E100453">
            <w:pPr>
              <w:spacing w:line="360" w:lineRule="exact"/>
              <w:jc w:val="center"/>
              <w:rPr>
                <w:color w:val="auto"/>
                <w:highlight w:val="none"/>
              </w:rPr>
            </w:pPr>
            <w:r>
              <w:rPr>
                <w:rFonts w:hint="eastAsia"/>
                <w:color w:val="auto"/>
                <w:highlight w:val="none"/>
              </w:rPr>
              <w:t>30分</w:t>
            </w:r>
          </w:p>
        </w:tc>
        <w:tc>
          <w:tcPr>
            <w:tcW w:w="7332" w:type="dxa"/>
            <w:vAlign w:val="center"/>
          </w:tcPr>
          <w:p w14:paraId="64519836">
            <w:pPr>
              <w:spacing w:line="360" w:lineRule="exact"/>
              <w:rPr>
                <w:color w:val="auto"/>
                <w:highlight w:val="none"/>
              </w:rPr>
            </w:pPr>
            <w:r>
              <w:rPr>
                <w:rFonts w:hint="eastAsia"/>
                <w:color w:val="auto"/>
                <w:highlight w:val="none"/>
              </w:rPr>
              <w:t>1．满足招标文件规定且在招标控制价以内的有效报价得基本分10分</w:t>
            </w:r>
          </w:p>
          <w:p w14:paraId="307E6CD9">
            <w:pPr>
              <w:spacing w:line="360" w:lineRule="exact"/>
              <w:rPr>
                <w:color w:val="auto"/>
                <w:highlight w:val="none"/>
              </w:rPr>
            </w:pPr>
            <w:r>
              <w:rPr>
                <w:rFonts w:hint="eastAsia"/>
                <w:color w:val="auto"/>
                <w:highlight w:val="none"/>
              </w:rPr>
              <w:t>2．竞争分20分按以下标准评审：</w:t>
            </w:r>
          </w:p>
          <w:p w14:paraId="1CA362B5">
            <w:pPr>
              <w:spacing w:line="360" w:lineRule="exact"/>
              <w:rPr>
                <w:color w:val="auto"/>
                <w:highlight w:val="none"/>
              </w:rPr>
            </w:pPr>
            <w:r>
              <w:rPr>
                <w:rFonts w:hint="eastAsia"/>
                <w:color w:val="auto"/>
                <w:highlight w:val="none"/>
              </w:rPr>
              <w:t>F＝20 -（投标人评标价-评标基准价）÷评标基准价× 100×0.8（评标价＞基准价时）</w:t>
            </w:r>
          </w:p>
          <w:p w14:paraId="55617B21">
            <w:pPr>
              <w:spacing w:line="360" w:lineRule="exact"/>
              <w:rPr>
                <w:color w:val="auto"/>
                <w:highlight w:val="none"/>
              </w:rPr>
            </w:pPr>
            <w:r>
              <w:rPr>
                <w:rFonts w:hint="eastAsia"/>
                <w:color w:val="auto"/>
                <w:highlight w:val="none"/>
              </w:rPr>
              <w:t>F＝20 -（评标基准价-投标人评标价）÷评标基准价× 100×0.5（评标价≤基准价时）</w:t>
            </w:r>
          </w:p>
          <w:p w14:paraId="4F7AA54C">
            <w:pPr>
              <w:spacing w:line="360" w:lineRule="exact"/>
              <w:rPr>
                <w:color w:val="auto"/>
                <w:highlight w:val="none"/>
              </w:rPr>
            </w:pPr>
            <w:r>
              <w:rPr>
                <w:rFonts w:hint="eastAsia"/>
                <w:color w:val="auto"/>
                <w:highlight w:val="none"/>
              </w:rPr>
              <w:t>其中：商务标F≥0。 评标基准价计算方法：以所有有效最终投标报价的算术平均值作为评标基准价，如有效的最终投标报价大于等于5家时，则去掉最高报价和最低报价后的算术平均值作为评标基准价。</w:t>
            </w:r>
          </w:p>
        </w:tc>
      </w:tr>
      <w:tr w14:paraId="40A1C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640" w:type="dxa"/>
            <w:vMerge w:val="restart"/>
            <w:tcBorders>
              <w:top w:val="nil"/>
            </w:tcBorders>
            <w:vAlign w:val="center"/>
          </w:tcPr>
          <w:p w14:paraId="5E0D3B4D">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lang w:val="zh-CN"/>
              </w:rPr>
              <w:t>技术</w:t>
            </w:r>
          </w:p>
          <w:p w14:paraId="6D4ABB32">
            <w:pPr>
              <w:pStyle w:val="6"/>
              <w:spacing w:before="29" w:line="440" w:lineRule="exact"/>
              <w:ind w:left="0" w:right="18"/>
              <w:jc w:val="center"/>
              <w:rPr>
                <w:rFonts w:hint="eastAsia"/>
                <w:color w:val="auto"/>
                <w:sz w:val="21"/>
                <w:szCs w:val="21"/>
                <w:highlight w:val="none"/>
              </w:rPr>
            </w:pPr>
            <w:r>
              <w:rPr>
                <w:rFonts w:hint="eastAsia"/>
                <w:color w:val="auto"/>
                <w:sz w:val="21"/>
                <w:szCs w:val="21"/>
                <w:highlight w:val="none"/>
              </w:rPr>
              <w:t>部分</w:t>
            </w:r>
          </w:p>
          <w:p w14:paraId="6339E62A">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lang w:val="zh-CN"/>
              </w:rPr>
              <w:t>40分</w:t>
            </w:r>
          </w:p>
        </w:tc>
        <w:tc>
          <w:tcPr>
            <w:tcW w:w="1353" w:type="dxa"/>
            <w:vMerge w:val="restart"/>
            <w:vAlign w:val="center"/>
          </w:tcPr>
          <w:p w14:paraId="6B7CFB08">
            <w:pPr>
              <w:spacing w:line="360" w:lineRule="exact"/>
              <w:jc w:val="center"/>
              <w:rPr>
                <w:color w:val="auto"/>
                <w:highlight w:val="none"/>
              </w:rPr>
            </w:pPr>
            <w:r>
              <w:rPr>
                <w:rFonts w:hint="eastAsia" w:ascii="宋体" w:hAnsi="宋体" w:cs="宋体"/>
                <w:color w:val="auto"/>
                <w:sz w:val="24"/>
                <w:highlight w:val="none"/>
              </w:rPr>
              <w:t>修缮</w:t>
            </w:r>
            <w:r>
              <w:rPr>
                <w:rFonts w:hint="eastAsia" w:ascii="宋体" w:hAnsi="宋体" w:cs="宋体"/>
                <w:color w:val="auto"/>
                <w:sz w:val="24"/>
                <w:highlight w:val="none"/>
                <w:lang w:val="en-US" w:eastAsia="zh-CN"/>
              </w:rPr>
              <w:t>设计</w:t>
            </w:r>
          </w:p>
        </w:tc>
        <w:tc>
          <w:tcPr>
            <w:tcW w:w="492" w:type="dxa"/>
            <w:vAlign w:val="center"/>
          </w:tcPr>
          <w:p w14:paraId="1CAA7C38">
            <w:pPr>
              <w:spacing w:line="360" w:lineRule="exact"/>
              <w:jc w:val="center"/>
              <w:rPr>
                <w:color w:val="auto"/>
                <w:highlight w:val="none"/>
              </w:rPr>
            </w:pPr>
            <w:r>
              <w:rPr>
                <w:rFonts w:hint="eastAsia"/>
                <w:color w:val="auto"/>
                <w:highlight w:val="none"/>
              </w:rPr>
              <w:t>12分</w:t>
            </w:r>
          </w:p>
        </w:tc>
        <w:tc>
          <w:tcPr>
            <w:tcW w:w="7332" w:type="dxa"/>
            <w:vAlign w:val="center"/>
          </w:tcPr>
          <w:p w14:paraId="0EFB215B">
            <w:pPr>
              <w:spacing w:line="360" w:lineRule="exact"/>
              <w:rPr>
                <w:color w:val="auto"/>
                <w:highlight w:val="none"/>
                <w:lang w:val="zh-CN"/>
              </w:rPr>
            </w:pPr>
            <w:r>
              <w:rPr>
                <w:rFonts w:hint="eastAsia"/>
                <w:color w:val="auto"/>
                <w:highlight w:val="none"/>
              </w:rPr>
              <w:t>对原建筑现状的分析与评估：对古建筑的结构、材料、病害等现状进行深入分析，评估准确、全面；在保护原建筑的历史文化价值和原有风貌的基础上提出合理的修缮设计</w:t>
            </w:r>
            <w:r>
              <w:rPr>
                <w:rFonts w:hint="eastAsia"/>
                <w:color w:val="auto"/>
                <w:highlight w:val="none"/>
                <w:lang w:val="en-US" w:eastAsia="zh-CN"/>
              </w:rPr>
              <w:t>方案</w:t>
            </w:r>
            <w:r>
              <w:rPr>
                <w:rFonts w:hint="eastAsia"/>
                <w:color w:val="auto"/>
                <w:highlight w:val="none"/>
              </w:rPr>
              <w:t>；针对原建筑的具体问题提出详细、可行的修缮工艺和技术措施，包括结构加固、材料替换、表面修复等方面，措施科学合理、针对性强。优12-8分，良8-4分，差4-0分。</w:t>
            </w:r>
          </w:p>
        </w:tc>
      </w:tr>
      <w:tr w14:paraId="1FAD1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640" w:type="dxa"/>
            <w:vMerge w:val="continue"/>
            <w:vAlign w:val="center"/>
          </w:tcPr>
          <w:p w14:paraId="0B2C66EA">
            <w:pPr>
              <w:pStyle w:val="6"/>
              <w:spacing w:before="29" w:line="440" w:lineRule="exact"/>
              <w:ind w:left="0" w:right="18"/>
              <w:jc w:val="center"/>
              <w:rPr>
                <w:rFonts w:hint="eastAsia"/>
                <w:color w:val="auto"/>
                <w:sz w:val="21"/>
                <w:szCs w:val="21"/>
                <w:highlight w:val="none"/>
                <w:lang w:val="zh-CN"/>
              </w:rPr>
            </w:pPr>
          </w:p>
        </w:tc>
        <w:tc>
          <w:tcPr>
            <w:tcW w:w="1353" w:type="dxa"/>
            <w:vMerge w:val="continue"/>
            <w:vAlign w:val="center"/>
          </w:tcPr>
          <w:p w14:paraId="5DA79E22">
            <w:pPr>
              <w:spacing w:line="360" w:lineRule="exact"/>
              <w:jc w:val="center"/>
              <w:rPr>
                <w:color w:val="auto"/>
                <w:highlight w:val="none"/>
              </w:rPr>
            </w:pPr>
          </w:p>
        </w:tc>
        <w:tc>
          <w:tcPr>
            <w:tcW w:w="492" w:type="dxa"/>
            <w:vAlign w:val="center"/>
          </w:tcPr>
          <w:p w14:paraId="331B2784">
            <w:pPr>
              <w:spacing w:line="360" w:lineRule="exact"/>
              <w:jc w:val="center"/>
              <w:rPr>
                <w:color w:val="auto"/>
                <w:highlight w:val="none"/>
              </w:rPr>
            </w:pPr>
            <w:r>
              <w:rPr>
                <w:rFonts w:hint="eastAsia"/>
                <w:color w:val="auto"/>
                <w:highlight w:val="none"/>
              </w:rPr>
              <w:t>4分</w:t>
            </w:r>
          </w:p>
        </w:tc>
        <w:tc>
          <w:tcPr>
            <w:tcW w:w="7332" w:type="dxa"/>
            <w:vAlign w:val="center"/>
          </w:tcPr>
          <w:p w14:paraId="4F04AC46">
            <w:pPr>
              <w:spacing w:line="360" w:lineRule="exact"/>
              <w:rPr>
                <w:color w:val="auto"/>
                <w:highlight w:val="none"/>
              </w:rPr>
            </w:pPr>
            <w:r>
              <w:rPr>
                <w:rFonts w:hint="eastAsia"/>
                <w:color w:val="auto"/>
                <w:highlight w:val="none"/>
              </w:rPr>
              <w:t>建立完善的质量保证体系，明确质量控制标准、检验检测方法和质量事故处理预案等，质量保证措施完善、可行得3 - 4 分；质量保证措施较完善、基本可行得 2 - 3 分；质量保证措施不完善或不可行得0-1 分。</w:t>
            </w:r>
          </w:p>
        </w:tc>
      </w:tr>
      <w:tr w14:paraId="17F03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640" w:type="dxa"/>
            <w:vMerge w:val="continue"/>
            <w:vAlign w:val="center"/>
          </w:tcPr>
          <w:p w14:paraId="1340DD39">
            <w:pPr>
              <w:pStyle w:val="6"/>
              <w:spacing w:before="29" w:line="440" w:lineRule="exact"/>
              <w:ind w:left="0" w:right="18"/>
              <w:jc w:val="center"/>
              <w:rPr>
                <w:rFonts w:hint="eastAsia"/>
                <w:color w:val="auto"/>
                <w:sz w:val="21"/>
                <w:szCs w:val="21"/>
                <w:highlight w:val="none"/>
                <w:lang w:val="zh-CN"/>
              </w:rPr>
            </w:pPr>
          </w:p>
        </w:tc>
        <w:tc>
          <w:tcPr>
            <w:tcW w:w="1353" w:type="dxa"/>
            <w:vMerge w:val="restart"/>
            <w:vAlign w:val="center"/>
          </w:tcPr>
          <w:p w14:paraId="1167C234">
            <w:pPr>
              <w:spacing w:line="360" w:lineRule="exact"/>
              <w:jc w:val="center"/>
              <w:rPr>
                <w:color w:val="auto"/>
                <w:highlight w:val="none"/>
              </w:rPr>
            </w:pPr>
            <w:r>
              <w:rPr>
                <w:rFonts w:hint="eastAsia"/>
                <w:color w:val="auto"/>
                <w:highlight w:val="none"/>
              </w:rPr>
              <w:t>施工组织设计</w:t>
            </w:r>
          </w:p>
        </w:tc>
        <w:tc>
          <w:tcPr>
            <w:tcW w:w="492" w:type="dxa"/>
            <w:vAlign w:val="center"/>
          </w:tcPr>
          <w:p w14:paraId="256CD617">
            <w:pPr>
              <w:spacing w:line="360" w:lineRule="exact"/>
              <w:jc w:val="center"/>
              <w:rPr>
                <w:color w:val="auto"/>
                <w:highlight w:val="none"/>
              </w:rPr>
            </w:pPr>
            <w:r>
              <w:rPr>
                <w:rFonts w:hint="eastAsia"/>
                <w:color w:val="auto"/>
                <w:highlight w:val="none"/>
              </w:rPr>
              <w:t>4分</w:t>
            </w:r>
          </w:p>
        </w:tc>
        <w:tc>
          <w:tcPr>
            <w:tcW w:w="7332" w:type="dxa"/>
            <w:vAlign w:val="center"/>
          </w:tcPr>
          <w:p w14:paraId="64183ED2">
            <w:pPr>
              <w:spacing w:line="360" w:lineRule="exact"/>
              <w:rPr>
                <w:color w:val="auto"/>
                <w:highlight w:val="none"/>
              </w:rPr>
            </w:pPr>
            <w:r>
              <w:rPr>
                <w:rFonts w:hint="eastAsia"/>
                <w:color w:val="auto"/>
                <w:highlight w:val="none"/>
              </w:rPr>
              <w:t>施工进度计划：编制合理的施工进度计划，明确各阶段的施工任务和时间节点，能够满足招标文件要求的工期，且进度计划合理、可行，有详细的进度网络图或横道图得 3 - 4分；进度计划较合理、基本可行得2 - 3 分；进度计划不合理或不可行得0-1 分。</w:t>
            </w:r>
          </w:p>
        </w:tc>
      </w:tr>
      <w:tr w14:paraId="5FB12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640" w:type="dxa"/>
            <w:vMerge w:val="continue"/>
            <w:vAlign w:val="center"/>
          </w:tcPr>
          <w:p w14:paraId="13542B94">
            <w:pPr>
              <w:pStyle w:val="6"/>
              <w:spacing w:before="29" w:line="440" w:lineRule="exact"/>
              <w:ind w:left="0" w:right="18"/>
              <w:jc w:val="center"/>
              <w:rPr>
                <w:rFonts w:hint="eastAsia"/>
                <w:color w:val="auto"/>
                <w:sz w:val="21"/>
                <w:szCs w:val="21"/>
                <w:highlight w:val="none"/>
                <w:lang w:val="zh-CN"/>
              </w:rPr>
            </w:pPr>
          </w:p>
        </w:tc>
        <w:tc>
          <w:tcPr>
            <w:tcW w:w="1353" w:type="dxa"/>
            <w:vMerge w:val="continue"/>
            <w:vAlign w:val="center"/>
          </w:tcPr>
          <w:p w14:paraId="3A015084">
            <w:pPr>
              <w:spacing w:line="360" w:lineRule="exact"/>
              <w:jc w:val="center"/>
              <w:rPr>
                <w:color w:val="auto"/>
                <w:highlight w:val="none"/>
              </w:rPr>
            </w:pPr>
          </w:p>
        </w:tc>
        <w:tc>
          <w:tcPr>
            <w:tcW w:w="492" w:type="dxa"/>
            <w:vAlign w:val="center"/>
          </w:tcPr>
          <w:p w14:paraId="601ED572">
            <w:pPr>
              <w:spacing w:line="360" w:lineRule="exact"/>
              <w:jc w:val="center"/>
              <w:rPr>
                <w:color w:val="auto"/>
                <w:highlight w:val="none"/>
              </w:rPr>
            </w:pPr>
            <w:r>
              <w:rPr>
                <w:rFonts w:hint="eastAsia"/>
                <w:color w:val="auto"/>
                <w:highlight w:val="none"/>
              </w:rPr>
              <w:t>4分</w:t>
            </w:r>
          </w:p>
        </w:tc>
        <w:tc>
          <w:tcPr>
            <w:tcW w:w="7332" w:type="dxa"/>
            <w:vAlign w:val="center"/>
          </w:tcPr>
          <w:p w14:paraId="4BD7EA2E">
            <w:pPr>
              <w:spacing w:line="360" w:lineRule="exact"/>
              <w:rPr>
                <w:color w:val="auto"/>
                <w:highlight w:val="none"/>
                <w:lang w:val="zh-CN"/>
              </w:rPr>
            </w:pPr>
            <w:r>
              <w:rPr>
                <w:rFonts w:hint="eastAsia"/>
                <w:color w:val="auto"/>
                <w:highlight w:val="none"/>
              </w:rPr>
              <w:t>组建合理的施工组织机构，配备足够数量且具备相应资质和经验的管理人员、技术人员和施工人员，人员配备齐全、合理得 3 - 4 分；人员配备较齐全、基本合理得 2 - 3分；人员配备不齐全或不合理得 0-1 分。</w:t>
            </w:r>
          </w:p>
        </w:tc>
      </w:tr>
      <w:tr w14:paraId="42787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640" w:type="dxa"/>
            <w:vMerge w:val="continue"/>
            <w:vAlign w:val="center"/>
          </w:tcPr>
          <w:p w14:paraId="10BD8377">
            <w:pPr>
              <w:pStyle w:val="6"/>
              <w:spacing w:before="29" w:line="440" w:lineRule="exact"/>
              <w:ind w:left="0" w:right="18"/>
              <w:jc w:val="center"/>
              <w:rPr>
                <w:rFonts w:hint="eastAsia"/>
                <w:color w:val="auto"/>
                <w:sz w:val="21"/>
                <w:szCs w:val="21"/>
                <w:highlight w:val="none"/>
                <w:lang w:val="zh-CN"/>
              </w:rPr>
            </w:pPr>
          </w:p>
        </w:tc>
        <w:tc>
          <w:tcPr>
            <w:tcW w:w="1353" w:type="dxa"/>
            <w:vMerge w:val="continue"/>
            <w:vAlign w:val="center"/>
          </w:tcPr>
          <w:p w14:paraId="32EBDA29">
            <w:pPr>
              <w:spacing w:line="360" w:lineRule="exact"/>
              <w:jc w:val="center"/>
              <w:rPr>
                <w:color w:val="auto"/>
                <w:highlight w:val="none"/>
              </w:rPr>
            </w:pPr>
          </w:p>
        </w:tc>
        <w:tc>
          <w:tcPr>
            <w:tcW w:w="492" w:type="dxa"/>
            <w:vAlign w:val="center"/>
          </w:tcPr>
          <w:p w14:paraId="3D527D78">
            <w:pPr>
              <w:spacing w:line="360" w:lineRule="exact"/>
              <w:jc w:val="center"/>
              <w:rPr>
                <w:color w:val="auto"/>
                <w:highlight w:val="none"/>
              </w:rPr>
            </w:pPr>
            <w:r>
              <w:rPr>
                <w:rFonts w:hint="eastAsia"/>
                <w:color w:val="auto"/>
                <w:highlight w:val="none"/>
              </w:rPr>
              <w:t>4分</w:t>
            </w:r>
          </w:p>
        </w:tc>
        <w:tc>
          <w:tcPr>
            <w:tcW w:w="7332" w:type="dxa"/>
            <w:vAlign w:val="center"/>
          </w:tcPr>
          <w:p w14:paraId="39D2A47C">
            <w:pPr>
              <w:spacing w:line="360" w:lineRule="exact"/>
              <w:rPr>
                <w:color w:val="auto"/>
                <w:highlight w:val="none"/>
              </w:rPr>
            </w:pPr>
            <w:r>
              <w:rPr>
                <w:color w:val="auto"/>
                <w:highlight w:val="none"/>
              </w:rPr>
              <w:t>根据工程特点和施工工艺要求，配置合理的施工机械设备，设备先进、性能良好、满足施工需求得</w:t>
            </w:r>
            <w:r>
              <w:rPr>
                <w:rFonts w:hint="eastAsia"/>
                <w:color w:val="auto"/>
                <w:highlight w:val="none"/>
              </w:rPr>
              <w:t>3 - 4</w:t>
            </w:r>
            <w:r>
              <w:rPr>
                <w:color w:val="auto"/>
                <w:highlight w:val="none"/>
              </w:rPr>
              <w:t>分；设备较合理、基本满足施工需求得</w:t>
            </w:r>
            <w:r>
              <w:rPr>
                <w:rFonts w:hint="eastAsia"/>
                <w:color w:val="auto"/>
                <w:highlight w:val="none"/>
              </w:rPr>
              <w:t>2 - 3</w:t>
            </w:r>
            <w:r>
              <w:rPr>
                <w:color w:val="auto"/>
                <w:highlight w:val="none"/>
              </w:rPr>
              <w:t xml:space="preserve"> 分；设备配置不合理或不能满足施工需求得 </w:t>
            </w:r>
            <w:r>
              <w:rPr>
                <w:rFonts w:hint="eastAsia"/>
                <w:color w:val="auto"/>
                <w:highlight w:val="none"/>
              </w:rPr>
              <w:t xml:space="preserve">0-1 </w:t>
            </w:r>
            <w:r>
              <w:rPr>
                <w:color w:val="auto"/>
                <w:highlight w:val="none"/>
              </w:rPr>
              <w:t>分。</w:t>
            </w:r>
          </w:p>
        </w:tc>
      </w:tr>
      <w:tr w14:paraId="2EBDF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6" w:hRule="atLeast"/>
          <w:jc w:val="center"/>
        </w:trPr>
        <w:tc>
          <w:tcPr>
            <w:tcW w:w="640" w:type="dxa"/>
            <w:vMerge w:val="continue"/>
            <w:vAlign w:val="center"/>
          </w:tcPr>
          <w:p w14:paraId="54C5B5FF">
            <w:pPr>
              <w:pStyle w:val="6"/>
              <w:spacing w:before="29" w:line="440" w:lineRule="exact"/>
              <w:ind w:left="0" w:right="18"/>
              <w:jc w:val="center"/>
              <w:rPr>
                <w:rFonts w:hint="eastAsia"/>
                <w:color w:val="auto"/>
                <w:sz w:val="21"/>
                <w:szCs w:val="21"/>
                <w:highlight w:val="none"/>
                <w:lang w:val="zh-CN"/>
              </w:rPr>
            </w:pPr>
          </w:p>
        </w:tc>
        <w:tc>
          <w:tcPr>
            <w:tcW w:w="1353" w:type="dxa"/>
            <w:vMerge w:val="continue"/>
            <w:vAlign w:val="center"/>
          </w:tcPr>
          <w:p w14:paraId="00BFB31F">
            <w:pPr>
              <w:spacing w:line="360" w:lineRule="exact"/>
              <w:jc w:val="center"/>
              <w:rPr>
                <w:color w:val="auto"/>
                <w:highlight w:val="none"/>
              </w:rPr>
            </w:pPr>
          </w:p>
        </w:tc>
        <w:tc>
          <w:tcPr>
            <w:tcW w:w="492" w:type="dxa"/>
            <w:vAlign w:val="center"/>
          </w:tcPr>
          <w:p w14:paraId="0E8C3DC9">
            <w:pPr>
              <w:spacing w:line="360" w:lineRule="exact"/>
              <w:jc w:val="center"/>
              <w:rPr>
                <w:color w:val="auto"/>
                <w:highlight w:val="none"/>
              </w:rPr>
            </w:pPr>
            <w:r>
              <w:rPr>
                <w:rFonts w:hint="eastAsia"/>
                <w:color w:val="auto"/>
                <w:highlight w:val="none"/>
              </w:rPr>
              <w:t>4分</w:t>
            </w:r>
          </w:p>
        </w:tc>
        <w:tc>
          <w:tcPr>
            <w:tcW w:w="7332" w:type="dxa"/>
            <w:vAlign w:val="center"/>
          </w:tcPr>
          <w:p w14:paraId="7F3F19B4">
            <w:pPr>
              <w:widowControl/>
              <w:spacing w:beforeAutospacing="1" w:afterAutospacing="1"/>
              <w:jc w:val="left"/>
              <w:rPr>
                <w:color w:val="auto"/>
                <w:highlight w:val="none"/>
              </w:rPr>
            </w:pPr>
            <w:r>
              <w:rPr>
                <w:color w:val="auto"/>
                <w:highlight w:val="none"/>
              </w:rPr>
              <w:t>安全文明施工措施：制定完善的安全文明施工措施，包括安全管理制度、安全防护措施、环境保护措施等，措施完善、可行得</w:t>
            </w:r>
            <w:r>
              <w:rPr>
                <w:rFonts w:hint="eastAsia"/>
                <w:color w:val="auto"/>
                <w:highlight w:val="none"/>
              </w:rPr>
              <w:t>3 - 4</w:t>
            </w:r>
            <w:r>
              <w:rPr>
                <w:color w:val="auto"/>
                <w:highlight w:val="none"/>
              </w:rPr>
              <w:t xml:space="preserve">分；措施较完善、基本可行得 </w:t>
            </w:r>
            <w:r>
              <w:rPr>
                <w:rFonts w:hint="eastAsia"/>
                <w:color w:val="auto"/>
                <w:highlight w:val="none"/>
              </w:rPr>
              <w:t>2 - 3</w:t>
            </w:r>
            <w:r>
              <w:rPr>
                <w:color w:val="auto"/>
                <w:highlight w:val="none"/>
              </w:rPr>
              <w:t xml:space="preserve">分；措施不完善或不可行得 </w:t>
            </w:r>
            <w:r>
              <w:rPr>
                <w:rFonts w:hint="eastAsia"/>
                <w:color w:val="auto"/>
                <w:highlight w:val="none"/>
              </w:rPr>
              <w:t xml:space="preserve">0-1 </w:t>
            </w:r>
            <w:r>
              <w:rPr>
                <w:color w:val="auto"/>
                <w:highlight w:val="none"/>
              </w:rPr>
              <w:t>分。</w:t>
            </w:r>
          </w:p>
        </w:tc>
      </w:tr>
      <w:tr w14:paraId="5905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jc w:val="center"/>
        </w:trPr>
        <w:tc>
          <w:tcPr>
            <w:tcW w:w="640" w:type="dxa"/>
            <w:vMerge w:val="continue"/>
            <w:vAlign w:val="center"/>
          </w:tcPr>
          <w:p w14:paraId="5191B589">
            <w:pPr>
              <w:pStyle w:val="6"/>
              <w:spacing w:before="29" w:line="440" w:lineRule="exact"/>
              <w:ind w:left="0" w:right="18"/>
              <w:jc w:val="center"/>
              <w:rPr>
                <w:rFonts w:hint="eastAsia"/>
                <w:color w:val="auto"/>
                <w:sz w:val="21"/>
                <w:szCs w:val="21"/>
                <w:highlight w:val="none"/>
              </w:rPr>
            </w:pPr>
          </w:p>
        </w:tc>
        <w:tc>
          <w:tcPr>
            <w:tcW w:w="1353" w:type="dxa"/>
            <w:vAlign w:val="center"/>
          </w:tcPr>
          <w:p w14:paraId="0F5B78C5">
            <w:pPr>
              <w:spacing w:line="360" w:lineRule="exact"/>
              <w:rPr>
                <w:color w:val="auto"/>
                <w:highlight w:val="none"/>
              </w:rPr>
            </w:pPr>
            <w:r>
              <w:rPr>
                <w:rFonts w:hint="eastAsia"/>
                <w:color w:val="auto"/>
                <w:highlight w:val="none"/>
              </w:rPr>
              <w:t>售后服务</w:t>
            </w:r>
          </w:p>
        </w:tc>
        <w:tc>
          <w:tcPr>
            <w:tcW w:w="492" w:type="dxa"/>
            <w:vAlign w:val="center"/>
          </w:tcPr>
          <w:p w14:paraId="4EB92A60">
            <w:pPr>
              <w:spacing w:line="360" w:lineRule="exact"/>
              <w:jc w:val="center"/>
              <w:rPr>
                <w:color w:val="auto"/>
                <w:highlight w:val="none"/>
              </w:rPr>
            </w:pPr>
            <w:r>
              <w:rPr>
                <w:rFonts w:hint="eastAsia"/>
                <w:color w:val="auto"/>
                <w:highlight w:val="none"/>
              </w:rPr>
              <w:t>8分</w:t>
            </w:r>
          </w:p>
        </w:tc>
        <w:tc>
          <w:tcPr>
            <w:tcW w:w="7332" w:type="dxa"/>
            <w:vAlign w:val="center"/>
          </w:tcPr>
          <w:p w14:paraId="2D63F3DC">
            <w:pPr>
              <w:widowControl/>
              <w:spacing w:beforeAutospacing="1" w:afterAutospacing="1"/>
              <w:jc w:val="left"/>
              <w:rPr>
                <w:color w:val="auto"/>
                <w:highlight w:val="none"/>
              </w:rPr>
            </w:pPr>
            <w:r>
              <w:rPr>
                <w:rFonts w:hint="eastAsia"/>
                <w:color w:val="auto"/>
                <w:highlight w:val="none"/>
                <w:lang w:val="en-US" w:eastAsia="zh-CN"/>
              </w:rPr>
              <w:t>1、</w:t>
            </w:r>
            <w:r>
              <w:rPr>
                <w:rFonts w:hint="eastAsia"/>
                <w:color w:val="auto"/>
                <w:highlight w:val="none"/>
              </w:rPr>
              <w:t>保修期承诺：承诺的保修期符合招标文件要求且较长得</w:t>
            </w:r>
            <w:r>
              <w:rPr>
                <w:rFonts w:hint="eastAsia"/>
                <w:color w:val="auto"/>
                <w:highlight w:val="none"/>
                <w:lang w:val="en-US" w:eastAsia="zh-CN"/>
              </w:rPr>
              <w:t>3</w:t>
            </w:r>
            <w:r>
              <w:rPr>
                <w:rFonts w:hint="eastAsia"/>
                <w:color w:val="auto"/>
                <w:highlight w:val="none"/>
              </w:rPr>
              <w:t xml:space="preserve"> -</w:t>
            </w:r>
            <w:r>
              <w:rPr>
                <w:rFonts w:hint="eastAsia"/>
                <w:color w:val="auto"/>
                <w:highlight w:val="none"/>
                <w:lang w:val="en-US" w:eastAsia="zh-CN"/>
              </w:rPr>
              <w:t>4</w:t>
            </w:r>
            <w:r>
              <w:rPr>
                <w:rFonts w:hint="eastAsia"/>
                <w:color w:val="auto"/>
                <w:highlight w:val="none"/>
              </w:rPr>
              <w:t xml:space="preserve"> 分；保修期符合要求但无优势得 </w:t>
            </w:r>
            <w:r>
              <w:rPr>
                <w:rFonts w:hint="eastAsia"/>
                <w:color w:val="auto"/>
                <w:highlight w:val="none"/>
                <w:lang w:val="en-US" w:eastAsia="zh-CN"/>
              </w:rPr>
              <w:t>1-2</w:t>
            </w:r>
            <w:r>
              <w:rPr>
                <w:rFonts w:hint="eastAsia"/>
                <w:color w:val="auto"/>
                <w:highlight w:val="none"/>
              </w:rPr>
              <w:t xml:space="preserve"> 分；保修期不符合要求得 0 分。</w:t>
            </w:r>
            <w:r>
              <w:rPr>
                <w:rFonts w:hint="eastAsia"/>
                <w:color w:val="auto"/>
                <w:highlight w:val="none"/>
                <w:lang w:val="en-US" w:eastAsia="zh-CN"/>
              </w:rPr>
              <w:t xml:space="preserve">                         /2、</w:t>
            </w:r>
            <w:r>
              <w:rPr>
                <w:rFonts w:hint="eastAsia"/>
                <w:color w:val="auto"/>
                <w:highlight w:val="none"/>
              </w:rPr>
              <w:t xml:space="preserve">售后服务方案：制定完善的售后服务方案，包括维修响应时间、维修人员配备、维修服务内容等，售后服务方案完善、可行得 </w:t>
            </w:r>
            <w:r>
              <w:rPr>
                <w:rFonts w:hint="eastAsia"/>
                <w:color w:val="auto"/>
                <w:highlight w:val="none"/>
                <w:lang w:val="en-US" w:eastAsia="zh-CN"/>
              </w:rPr>
              <w:t>3</w:t>
            </w:r>
            <w:r>
              <w:rPr>
                <w:rFonts w:hint="eastAsia"/>
                <w:color w:val="auto"/>
                <w:highlight w:val="none"/>
              </w:rPr>
              <w:t xml:space="preserve"> -</w:t>
            </w:r>
            <w:r>
              <w:rPr>
                <w:rFonts w:hint="eastAsia"/>
                <w:color w:val="auto"/>
                <w:highlight w:val="none"/>
                <w:lang w:val="en-US" w:eastAsia="zh-CN"/>
              </w:rPr>
              <w:t>4</w:t>
            </w:r>
            <w:r>
              <w:rPr>
                <w:rFonts w:hint="eastAsia"/>
                <w:color w:val="auto"/>
                <w:highlight w:val="none"/>
              </w:rPr>
              <w:t xml:space="preserve"> 分；售后服务方案较完善、基本可行得</w:t>
            </w:r>
            <w:r>
              <w:rPr>
                <w:rFonts w:hint="eastAsia"/>
                <w:color w:val="auto"/>
                <w:highlight w:val="none"/>
                <w:lang w:val="en-US" w:eastAsia="zh-CN"/>
              </w:rPr>
              <w:t>1-2</w:t>
            </w:r>
            <w:r>
              <w:rPr>
                <w:rFonts w:hint="eastAsia"/>
                <w:color w:val="auto"/>
                <w:highlight w:val="none"/>
              </w:rPr>
              <w:t>分；售后服务方案不完善或不可行得 0 分。</w:t>
            </w:r>
          </w:p>
        </w:tc>
      </w:tr>
      <w:tr w14:paraId="77F10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640" w:type="dxa"/>
            <w:vMerge w:val="restart"/>
            <w:vAlign w:val="center"/>
          </w:tcPr>
          <w:p w14:paraId="1A978DD4">
            <w:pPr>
              <w:pStyle w:val="6"/>
              <w:spacing w:before="29" w:line="440" w:lineRule="exact"/>
              <w:ind w:left="0" w:right="18"/>
              <w:jc w:val="center"/>
              <w:rPr>
                <w:rFonts w:hint="eastAsia"/>
                <w:color w:val="auto"/>
                <w:sz w:val="21"/>
                <w:szCs w:val="21"/>
                <w:highlight w:val="none"/>
              </w:rPr>
            </w:pPr>
            <w:r>
              <w:rPr>
                <w:rFonts w:hint="eastAsia"/>
                <w:color w:val="auto"/>
                <w:sz w:val="21"/>
                <w:szCs w:val="21"/>
                <w:highlight w:val="none"/>
              </w:rPr>
              <w:t>商务</w:t>
            </w:r>
          </w:p>
          <w:p w14:paraId="6E734DB9">
            <w:pPr>
              <w:pStyle w:val="6"/>
              <w:spacing w:before="29" w:line="440" w:lineRule="exact"/>
              <w:ind w:left="0" w:right="18"/>
              <w:jc w:val="center"/>
              <w:rPr>
                <w:rFonts w:hint="eastAsia"/>
                <w:color w:val="auto"/>
                <w:sz w:val="21"/>
                <w:szCs w:val="21"/>
                <w:highlight w:val="none"/>
              </w:rPr>
            </w:pPr>
            <w:r>
              <w:rPr>
                <w:rFonts w:hint="eastAsia"/>
                <w:color w:val="auto"/>
                <w:sz w:val="21"/>
                <w:szCs w:val="21"/>
                <w:highlight w:val="none"/>
              </w:rPr>
              <w:t>部分</w:t>
            </w:r>
          </w:p>
          <w:p w14:paraId="367AC1E9">
            <w:pPr>
              <w:pStyle w:val="6"/>
              <w:spacing w:before="29" w:line="440" w:lineRule="exact"/>
              <w:ind w:left="0" w:right="18"/>
              <w:jc w:val="center"/>
              <w:rPr>
                <w:rFonts w:hint="eastAsia"/>
                <w:color w:val="auto"/>
                <w:sz w:val="21"/>
                <w:szCs w:val="21"/>
                <w:highlight w:val="none"/>
                <w:lang w:val="zh-CN"/>
              </w:rPr>
            </w:pPr>
            <w:r>
              <w:rPr>
                <w:rFonts w:hint="eastAsia"/>
                <w:color w:val="auto"/>
                <w:sz w:val="21"/>
                <w:szCs w:val="21"/>
                <w:highlight w:val="none"/>
              </w:rPr>
              <w:t>30</w:t>
            </w:r>
            <w:r>
              <w:rPr>
                <w:rFonts w:hint="eastAsia"/>
                <w:color w:val="auto"/>
                <w:sz w:val="21"/>
                <w:szCs w:val="21"/>
                <w:highlight w:val="none"/>
                <w:lang w:val="zh-CN"/>
              </w:rPr>
              <w:t>分</w:t>
            </w:r>
          </w:p>
        </w:tc>
        <w:tc>
          <w:tcPr>
            <w:tcW w:w="1353" w:type="dxa"/>
            <w:vAlign w:val="center"/>
          </w:tcPr>
          <w:p w14:paraId="20FE7DD8">
            <w:pPr>
              <w:widowControl/>
              <w:spacing w:beforeAutospacing="1" w:afterAutospacing="1"/>
              <w:jc w:val="left"/>
              <w:rPr>
                <w:color w:val="auto"/>
                <w:highlight w:val="none"/>
              </w:rPr>
            </w:pPr>
            <w:r>
              <w:rPr>
                <w:rFonts w:hint="eastAsia"/>
                <w:color w:val="auto"/>
                <w:highlight w:val="none"/>
              </w:rPr>
              <w:t>企业业绩</w:t>
            </w:r>
          </w:p>
        </w:tc>
        <w:tc>
          <w:tcPr>
            <w:tcW w:w="492" w:type="dxa"/>
            <w:vAlign w:val="center"/>
          </w:tcPr>
          <w:p w14:paraId="4CD54313">
            <w:pPr>
              <w:spacing w:line="360" w:lineRule="exact"/>
              <w:jc w:val="center"/>
              <w:rPr>
                <w:color w:val="auto"/>
                <w:highlight w:val="none"/>
              </w:rPr>
            </w:pPr>
            <w:r>
              <w:rPr>
                <w:rFonts w:hint="eastAsia"/>
                <w:color w:val="auto"/>
                <w:highlight w:val="none"/>
              </w:rPr>
              <w:t>1</w:t>
            </w:r>
            <w:r>
              <w:rPr>
                <w:rFonts w:hint="eastAsia"/>
                <w:color w:val="auto"/>
                <w:highlight w:val="none"/>
                <w:lang w:val="en-US" w:eastAsia="zh-CN"/>
              </w:rPr>
              <w:t>2</w:t>
            </w:r>
            <w:r>
              <w:rPr>
                <w:rFonts w:hint="eastAsia"/>
                <w:color w:val="auto"/>
                <w:highlight w:val="none"/>
              </w:rPr>
              <w:t>分</w:t>
            </w:r>
          </w:p>
        </w:tc>
        <w:tc>
          <w:tcPr>
            <w:tcW w:w="7332" w:type="dxa"/>
            <w:tcBorders>
              <w:bottom w:val="single" w:color="000000" w:sz="6" w:space="0"/>
            </w:tcBorders>
            <w:vAlign w:val="center"/>
          </w:tcPr>
          <w:p w14:paraId="064DC688">
            <w:pPr>
              <w:widowControl/>
              <w:spacing w:beforeAutospacing="1" w:afterAutospacing="1"/>
              <w:jc w:val="left"/>
              <w:rPr>
                <w:color w:val="auto"/>
                <w:highlight w:val="none"/>
              </w:rPr>
            </w:pPr>
            <w:r>
              <w:rPr>
                <w:rFonts w:hint="eastAsia"/>
                <w:color w:val="auto"/>
                <w:highlight w:val="none"/>
              </w:rPr>
              <w:t>近五年（指2019年7月1日至今）有合同金额在40万元以上仿古建筑或古建修复类</w:t>
            </w:r>
            <w:r>
              <w:rPr>
                <w:rFonts w:hint="eastAsia"/>
                <w:color w:val="auto"/>
                <w:highlight w:val="none"/>
                <w:lang w:val="en-US" w:eastAsia="zh-CN"/>
              </w:rPr>
              <w:t>似</w:t>
            </w:r>
            <w:r>
              <w:rPr>
                <w:rFonts w:hint="eastAsia"/>
                <w:color w:val="auto"/>
                <w:highlight w:val="none"/>
              </w:rPr>
              <w:t>业绩的，每一项得</w:t>
            </w:r>
            <w:r>
              <w:rPr>
                <w:rFonts w:hint="eastAsia"/>
                <w:color w:val="auto"/>
                <w:highlight w:val="none"/>
                <w:lang w:val="en-US" w:eastAsia="zh-CN"/>
              </w:rPr>
              <w:t>4</w:t>
            </w:r>
            <w:r>
              <w:rPr>
                <w:rFonts w:hint="eastAsia"/>
                <w:color w:val="auto"/>
                <w:highlight w:val="none"/>
              </w:rPr>
              <w:t>分，最多得1</w:t>
            </w:r>
            <w:r>
              <w:rPr>
                <w:rFonts w:hint="eastAsia"/>
                <w:color w:val="auto"/>
                <w:highlight w:val="none"/>
                <w:lang w:val="en-US" w:eastAsia="zh-CN"/>
              </w:rPr>
              <w:t>2</w:t>
            </w:r>
            <w:r>
              <w:rPr>
                <w:rFonts w:hint="eastAsia"/>
                <w:color w:val="auto"/>
                <w:highlight w:val="none"/>
              </w:rPr>
              <w:t>分。注：提供合同或中标通知书复印件加盖公章，未提供证明材料不得分。</w:t>
            </w:r>
          </w:p>
        </w:tc>
      </w:tr>
      <w:tr w14:paraId="786764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640" w:type="dxa"/>
            <w:vMerge w:val="continue"/>
            <w:vAlign w:val="center"/>
          </w:tcPr>
          <w:p w14:paraId="1EF34257">
            <w:pPr>
              <w:pStyle w:val="6"/>
              <w:spacing w:before="29" w:line="440" w:lineRule="exact"/>
              <w:ind w:left="0" w:right="18"/>
              <w:jc w:val="center"/>
              <w:rPr>
                <w:rFonts w:hint="eastAsia"/>
                <w:color w:val="auto"/>
                <w:sz w:val="21"/>
                <w:szCs w:val="21"/>
                <w:highlight w:val="none"/>
              </w:rPr>
            </w:pPr>
          </w:p>
        </w:tc>
        <w:tc>
          <w:tcPr>
            <w:tcW w:w="1353" w:type="dxa"/>
            <w:vAlign w:val="center"/>
          </w:tcPr>
          <w:p w14:paraId="18C5F9DF">
            <w:pPr>
              <w:widowControl/>
              <w:spacing w:beforeAutospacing="1" w:afterAutospacing="1"/>
              <w:jc w:val="left"/>
              <w:rPr>
                <w:color w:val="auto"/>
                <w:highlight w:val="none"/>
              </w:rPr>
            </w:pPr>
            <w:r>
              <w:rPr>
                <w:rFonts w:hint="eastAsia"/>
                <w:color w:val="auto"/>
                <w:highlight w:val="none"/>
              </w:rPr>
              <w:t>企业信誉</w:t>
            </w:r>
          </w:p>
        </w:tc>
        <w:tc>
          <w:tcPr>
            <w:tcW w:w="492" w:type="dxa"/>
            <w:vAlign w:val="center"/>
          </w:tcPr>
          <w:p w14:paraId="27C4D844">
            <w:pPr>
              <w:spacing w:line="360" w:lineRule="exact"/>
              <w:jc w:val="center"/>
              <w:rPr>
                <w:color w:val="auto"/>
                <w:highlight w:val="none"/>
              </w:rPr>
            </w:pPr>
            <w:r>
              <w:rPr>
                <w:rFonts w:hint="eastAsia" w:ascii="宋体" w:hAnsi="宋体"/>
                <w:color w:val="auto"/>
                <w:highlight w:val="none"/>
              </w:rPr>
              <w:t>7分</w:t>
            </w:r>
          </w:p>
        </w:tc>
        <w:tc>
          <w:tcPr>
            <w:tcW w:w="7332" w:type="dxa"/>
            <w:tcBorders>
              <w:bottom w:val="single" w:color="000000" w:sz="6" w:space="0"/>
            </w:tcBorders>
            <w:vAlign w:val="center"/>
          </w:tcPr>
          <w:p w14:paraId="611447E7">
            <w:pPr>
              <w:widowControl/>
              <w:spacing w:beforeAutospacing="1" w:afterAutospacing="1"/>
              <w:jc w:val="left"/>
              <w:rPr>
                <w:rFonts w:hint="eastAsia"/>
                <w:color w:val="auto"/>
                <w:highlight w:val="none"/>
              </w:rPr>
            </w:pPr>
            <w:r>
              <w:rPr>
                <w:rFonts w:hint="eastAsia"/>
                <w:color w:val="auto"/>
                <w:highlight w:val="none"/>
              </w:rPr>
              <w:t>提供近三年供应商获得一个省级及以上荣誉（奖项）得 3分；市（地）级荣誉（奖项）的得 2分；县（市、区）级荣誉（奖项）的得 1分，累计最高得 7分，未提供不得分（提供荣誉证书或相关证明材料）。</w:t>
            </w:r>
          </w:p>
        </w:tc>
      </w:tr>
      <w:tr w14:paraId="4BB65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 w:hRule="atLeast"/>
          <w:jc w:val="center"/>
        </w:trPr>
        <w:tc>
          <w:tcPr>
            <w:tcW w:w="640" w:type="dxa"/>
            <w:vMerge w:val="continue"/>
            <w:vAlign w:val="center"/>
          </w:tcPr>
          <w:p w14:paraId="73D6A065">
            <w:pPr>
              <w:pStyle w:val="6"/>
              <w:spacing w:before="29" w:line="440" w:lineRule="exact"/>
              <w:ind w:left="0" w:right="18"/>
              <w:jc w:val="center"/>
              <w:rPr>
                <w:rFonts w:hint="eastAsia"/>
                <w:color w:val="auto"/>
                <w:sz w:val="21"/>
                <w:szCs w:val="21"/>
                <w:highlight w:val="none"/>
              </w:rPr>
            </w:pPr>
          </w:p>
        </w:tc>
        <w:tc>
          <w:tcPr>
            <w:tcW w:w="1353" w:type="dxa"/>
            <w:vAlign w:val="center"/>
          </w:tcPr>
          <w:p w14:paraId="73765031">
            <w:pPr>
              <w:widowControl/>
              <w:spacing w:beforeAutospacing="1" w:afterAutospacing="1"/>
              <w:jc w:val="left"/>
              <w:rPr>
                <w:color w:val="auto"/>
                <w:highlight w:val="none"/>
              </w:rPr>
            </w:pPr>
            <w:r>
              <w:rPr>
                <w:rFonts w:hint="eastAsia" w:ascii="Times New Roman" w:hAnsi="Times New Roman" w:eastAsia="宋体" w:cs="Times New Roman"/>
                <w:lang w:val="en-US" w:eastAsia="zh-CN"/>
              </w:rPr>
              <w:t>项目管理团队</w:t>
            </w:r>
          </w:p>
        </w:tc>
        <w:tc>
          <w:tcPr>
            <w:tcW w:w="492" w:type="dxa"/>
            <w:vAlign w:val="center"/>
          </w:tcPr>
          <w:p w14:paraId="48B61CF3">
            <w:pPr>
              <w:spacing w:line="360" w:lineRule="exact"/>
              <w:jc w:val="center"/>
              <w:rPr>
                <w:color w:val="auto"/>
                <w:highlight w:val="none"/>
              </w:rPr>
            </w:pPr>
            <w:r>
              <w:rPr>
                <w:rFonts w:hint="eastAsia"/>
                <w:color w:val="auto"/>
                <w:highlight w:val="none"/>
                <w:lang w:val="en-US" w:eastAsia="zh-CN"/>
              </w:rPr>
              <w:t>8</w:t>
            </w:r>
            <w:r>
              <w:rPr>
                <w:rFonts w:hint="eastAsia"/>
                <w:color w:val="auto"/>
                <w:highlight w:val="none"/>
              </w:rPr>
              <w:t>分</w:t>
            </w:r>
          </w:p>
        </w:tc>
        <w:tc>
          <w:tcPr>
            <w:tcW w:w="7332" w:type="dxa"/>
            <w:tcBorders>
              <w:bottom w:val="single" w:color="000000" w:sz="6" w:space="0"/>
            </w:tcBorders>
            <w:vAlign w:val="center"/>
          </w:tcPr>
          <w:p w14:paraId="6629ABD2">
            <w:pPr>
              <w:widowControl/>
              <w:spacing w:beforeAutospacing="1" w:afterAutospacing="1"/>
              <w:jc w:val="left"/>
              <w:rPr>
                <w:color w:val="auto"/>
                <w:highlight w:val="none"/>
              </w:rPr>
            </w:pPr>
            <w:r>
              <w:rPr>
                <w:rFonts w:hint="eastAsia"/>
                <w:color w:val="auto"/>
                <w:highlight w:val="none"/>
                <w:lang w:val="en-US" w:eastAsia="zh-CN"/>
              </w:rPr>
              <w:t>1、</w:t>
            </w:r>
            <w:r>
              <w:rPr>
                <w:rFonts w:hint="eastAsia"/>
                <w:color w:val="auto"/>
                <w:highlight w:val="none"/>
              </w:rPr>
              <w:t>拟派项目经理具备建筑类高级职称证书的得</w:t>
            </w:r>
            <w:r>
              <w:rPr>
                <w:rFonts w:hint="eastAsia"/>
                <w:color w:val="auto"/>
                <w:highlight w:val="none"/>
                <w:lang w:val="en-US" w:eastAsia="zh-CN"/>
              </w:rPr>
              <w:t>4</w:t>
            </w:r>
            <w:r>
              <w:rPr>
                <w:rFonts w:hint="eastAsia"/>
                <w:color w:val="auto"/>
                <w:highlight w:val="none"/>
              </w:rPr>
              <w:t>分，建筑类中级职称证书的得2分，不</w:t>
            </w:r>
            <w:r>
              <w:rPr>
                <w:rFonts w:hint="eastAsia"/>
                <w:color w:val="auto"/>
                <w:highlight w:val="none"/>
                <w:lang w:val="en-US" w:eastAsia="zh-CN"/>
              </w:rPr>
              <w:t>重复计分</w:t>
            </w:r>
            <w:r>
              <w:rPr>
                <w:rFonts w:hint="eastAsia"/>
                <w:color w:val="auto"/>
                <w:highlight w:val="none"/>
              </w:rPr>
              <w:t>；提供相关证明材料。</w:t>
            </w:r>
            <w:r>
              <w:rPr>
                <w:rFonts w:hint="eastAsia"/>
                <w:color w:val="auto"/>
                <w:highlight w:val="none"/>
                <w:lang w:val="en-US" w:eastAsia="zh-CN"/>
              </w:rPr>
              <w:t xml:space="preserve">                                    2、</w:t>
            </w:r>
            <w:r>
              <w:rPr>
                <w:rFonts w:hint="eastAsia"/>
                <w:color w:val="auto"/>
                <w:highlight w:val="none"/>
              </w:rPr>
              <w:t xml:space="preserve">项目经理具有仿古建筑或古建筑修缮工程施工管理经验和类似工程业绩，每有1项业绩得 </w:t>
            </w:r>
            <w:r>
              <w:rPr>
                <w:rFonts w:hint="eastAsia"/>
                <w:color w:val="auto"/>
                <w:highlight w:val="none"/>
                <w:lang w:val="en-US" w:eastAsia="zh-CN"/>
              </w:rPr>
              <w:t>2</w:t>
            </w:r>
            <w:r>
              <w:rPr>
                <w:rFonts w:hint="eastAsia"/>
                <w:color w:val="auto"/>
                <w:highlight w:val="none"/>
              </w:rPr>
              <w:t>分，最多得4分。</w:t>
            </w:r>
          </w:p>
        </w:tc>
      </w:tr>
      <w:tr w14:paraId="79786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640" w:type="dxa"/>
            <w:vMerge w:val="continue"/>
            <w:vAlign w:val="center"/>
          </w:tcPr>
          <w:p w14:paraId="073F9210">
            <w:pPr>
              <w:pStyle w:val="6"/>
              <w:spacing w:before="29" w:line="440" w:lineRule="exact"/>
              <w:ind w:left="0" w:right="18"/>
              <w:rPr>
                <w:rFonts w:hint="eastAsia"/>
                <w:color w:val="auto"/>
                <w:sz w:val="21"/>
                <w:szCs w:val="21"/>
                <w:highlight w:val="none"/>
                <w:lang w:val="zh-CN"/>
              </w:rPr>
            </w:pPr>
          </w:p>
        </w:tc>
        <w:tc>
          <w:tcPr>
            <w:tcW w:w="1353" w:type="dxa"/>
            <w:vAlign w:val="center"/>
          </w:tcPr>
          <w:p w14:paraId="5D9782EA">
            <w:pPr>
              <w:widowControl/>
              <w:spacing w:beforeAutospacing="1" w:afterAutospacing="1"/>
              <w:jc w:val="left"/>
              <w:rPr>
                <w:color w:val="auto"/>
                <w:highlight w:val="none"/>
              </w:rPr>
            </w:pPr>
            <w:r>
              <w:rPr>
                <w:rFonts w:hint="eastAsia"/>
                <w:color w:val="auto"/>
                <w:highlight w:val="none"/>
              </w:rPr>
              <w:t>投标文件的完整性与响应性</w:t>
            </w:r>
          </w:p>
        </w:tc>
        <w:tc>
          <w:tcPr>
            <w:tcW w:w="492" w:type="dxa"/>
            <w:vAlign w:val="center"/>
          </w:tcPr>
          <w:p w14:paraId="0699A6C1">
            <w:pPr>
              <w:spacing w:line="360" w:lineRule="exact"/>
              <w:jc w:val="center"/>
              <w:rPr>
                <w:color w:val="auto"/>
                <w:highlight w:val="none"/>
              </w:rPr>
            </w:pPr>
            <w:r>
              <w:rPr>
                <w:rFonts w:hint="eastAsia"/>
                <w:color w:val="auto"/>
                <w:highlight w:val="none"/>
              </w:rPr>
              <w:t>3分</w:t>
            </w:r>
          </w:p>
        </w:tc>
        <w:tc>
          <w:tcPr>
            <w:tcW w:w="7332" w:type="dxa"/>
            <w:vAlign w:val="center"/>
          </w:tcPr>
          <w:p w14:paraId="40537CB8">
            <w:pPr>
              <w:widowControl/>
              <w:spacing w:beforeAutospacing="1" w:afterAutospacing="1"/>
              <w:jc w:val="left"/>
              <w:rPr>
                <w:color w:val="auto"/>
                <w:highlight w:val="none"/>
              </w:rPr>
            </w:pPr>
            <w:r>
              <w:rPr>
                <w:rFonts w:hint="eastAsia"/>
                <w:color w:val="auto"/>
                <w:highlight w:val="none"/>
              </w:rPr>
              <w:t xml:space="preserve">投标文件内容完整、格式规范、响应招标文件要求全面得 </w:t>
            </w:r>
            <w:r>
              <w:rPr>
                <w:rFonts w:hint="eastAsia"/>
                <w:color w:val="auto"/>
                <w:highlight w:val="none"/>
                <w:lang w:val="en-US" w:eastAsia="zh-CN"/>
              </w:rPr>
              <w:t>3</w:t>
            </w:r>
            <w:r>
              <w:rPr>
                <w:rFonts w:hint="eastAsia"/>
                <w:color w:val="auto"/>
                <w:highlight w:val="none"/>
              </w:rPr>
              <w:t xml:space="preserve">分；投标文件存在少量缺陷但不影响实质性内容得 </w:t>
            </w:r>
            <w:r>
              <w:rPr>
                <w:rFonts w:hint="eastAsia"/>
                <w:color w:val="auto"/>
                <w:highlight w:val="none"/>
                <w:lang w:val="en-US" w:eastAsia="zh-CN"/>
              </w:rPr>
              <w:t>1</w:t>
            </w:r>
            <w:r>
              <w:rPr>
                <w:rFonts w:hint="eastAsia"/>
                <w:color w:val="auto"/>
                <w:highlight w:val="none"/>
              </w:rPr>
              <w:t xml:space="preserve"> - 2分；投标文件存在重大缺陷或未响应招标文件要求得 0 分。</w:t>
            </w:r>
          </w:p>
        </w:tc>
      </w:tr>
    </w:tbl>
    <w:p w14:paraId="641A6A11">
      <w:pPr>
        <w:spacing w:before="36" w:line="440" w:lineRule="exact"/>
        <w:ind w:right="18"/>
        <w:rPr>
          <w:rFonts w:hint="eastAsia" w:ascii="宋体" w:hAnsi="宋体" w:cs="宋体"/>
          <w:color w:val="auto"/>
          <w:sz w:val="24"/>
          <w:highlight w:val="none"/>
        </w:rPr>
      </w:pPr>
      <w:r>
        <w:rPr>
          <w:rFonts w:hint="eastAsia" w:ascii="宋体" w:hAnsi="宋体" w:cs="宋体"/>
          <w:color w:val="auto"/>
          <w:sz w:val="24"/>
          <w:highlight w:val="none"/>
        </w:rPr>
        <w:t>备注：以上所有须提供的有关资料等投标人都须提供原始资料的真彩扫描打印件供专家评委评审，否则不得分。投标人投标时须认真对待、如实应标。</w:t>
      </w:r>
    </w:p>
    <w:p w14:paraId="53B88211">
      <w:pPr>
        <w:spacing w:before="36" w:line="440" w:lineRule="exact"/>
        <w:ind w:right="18"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三、评分及推荐中标候选人</w:t>
      </w:r>
    </w:p>
    <w:p w14:paraId="60EF8125">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1.评委按照招标文件要求和本评分办法的有关规定，给投标人分别打分，并按下列公式确定各投标人的评定分数：评定分数=报价部分+技术部分+商务部分。</w:t>
      </w:r>
    </w:p>
    <w:p w14:paraId="0D78B038">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2.投标人的最终得分为各评委所评定分数的算术平均值。</w:t>
      </w:r>
    </w:p>
    <w:p w14:paraId="7490593B">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3.各项统计、评分结果均按四舍五入方法精确到小数点后二位。</w:t>
      </w:r>
    </w:p>
    <w:p w14:paraId="7C0F750A">
      <w:pPr>
        <w:spacing w:before="36" w:line="440" w:lineRule="exact"/>
        <w:ind w:right="18" w:firstLine="480" w:firstLineChars="200"/>
        <w:rPr>
          <w:rFonts w:hint="eastAsia" w:ascii="宋体" w:hAnsi="宋体" w:cs="宋体"/>
          <w:color w:val="auto"/>
          <w:sz w:val="24"/>
          <w:highlight w:val="none"/>
        </w:rPr>
      </w:pPr>
      <w:r>
        <w:rPr>
          <w:rFonts w:hint="eastAsia" w:ascii="宋体" w:hAnsi="宋体" w:cs="宋体"/>
          <w:color w:val="auto"/>
          <w:sz w:val="24"/>
          <w:highlight w:val="none"/>
        </w:rPr>
        <w:t>4.评标小组按本办法打分，得分最高者为中标单位。 若出现二家（或以上）投标人并列最高分，则以报价低者为中标人，如再出现最高得分和报价并列的情况，则由评委以无记名投票方式选定，得票多者为候选中标单位。</w:t>
      </w:r>
    </w:p>
    <w:p w14:paraId="3E03A158">
      <w:pPr>
        <w:spacing w:before="36" w:line="440" w:lineRule="exact"/>
        <w:ind w:right="18" w:firstLine="480" w:firstLineChars="200"/>
        <w:rPr>
          <w:rFonts w:hint="eastAsia" w:ascii="宋体" w:hAnsi="宋体" w:cs="宋体"/>
          <w:color w:val="auto"/>
          <w:sz w:val="24"/>
          <w:highlight w:val="none"/>
        </w:rPr>
      </w:pPr>
    </w:p>
    <w:p w14:paraId="54DB2013">
      <w:pPr>
        <w:widowControl/>
        <w:jc w:val="left"/>
        <w:rPr>
          <w:rFonts w:hint="eastAsia" w:ascii="宋体" w:hAnsi="宋体" w:cs="宋体"/>
          <w:color w:val="auto"/>
          <w:sz w:val="32"/>
          <w:szCs w:val="32"/>
          <w:highlight w:val="none"/>
          <w:u w:val="single"/>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DB6FD0"/>
    <w:multiLevelType w:val="multilevel"/>
    <w:tmpl w:val="64DB6FD0"/>
    <w:lvl w:ilvl="0" w:tentative="0">
      <w:start w:val="1"/>
      <w:numFmt w:val="decimal"/>
      <w:lvlText w:val="%1."/>
      <w:lvlJc w:val="left"/>
      <w:rPr>
        <w:rFonts w:hint="default" w:ascii="Times New Roman" w:hAnsi="Times New Roman" w:eastAsia="宋体" w:cs="Times New Roman"/>
        <w:b/>
        <w:bCs w:val="0"/>
        <w:i w:val="0"/>
        <w:iCs w:val="0"/>
        <w:caps w:val="0"/>
        <w:smallCaps w:val="0"/>
        <w:strike w:val="0"/>
        <w:dstrike w:val="0"/>
        <w:vanish w:val="0"/>
        <w:color w:val="auto"/>
        <w:spacing w:val="0"/>
        <w:position w:val="0"/>
        <w:sz w:val="32"/>
        <w:szCs w:val="24"/>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284"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pStyle w:val="22"/>
      <w:suff w:val="nothing"/>
      <w:lvlText w:val="（%5）"/>
      <w:lvlJc w:val="left"/>
      <w:pPr>
        <w:ind w:left="425" w:firstLine="0"/>
      </w:pPr>
      <w:rPr>
        <w:rFonts w:hint="default" w:ascii="Times New Roman" w:hAnsi="Times New Roman" w:eastAsia="宋体"/>
        <w:lang w:val="en-US"/>
      </w:rPr>
    </w:lvl>
    <w:lvl w:ilvl="5" w:tentative="0">
      <w:start w:val="1"/>
      <w:numFmt w:val="decimal"/>
      <w:suff w:val="nothing"/>
      <w:lvlText w:val="%6）"/>
      <w:lvlJc w:val="left"/>
      <w:pPr>
        <w:ind w:left="0" w:firstLine="0"/>
      </w:pPr>
      <w:rPr>
        <w:rFonts w:hint="default" w:ascii="Times New Roman" w:hAnsi="Times New Roman" w:eastAsia="宋体"/>
        <w:b w:val="0"/>
        <w:i w:val="0"/>
        <w:sz w:val="24"/>
      </w:rPr>
    </w:lvl>
    <w:lvl w:ilvl="6" w:tentative="0">
      <w:start w:val="1"/>
      <w:numFmt w:val="lowerLetter"/>
      <w:suff w:val="nothing"/>
      <w:lvlText w:val="%7."/>
      <w:lvlJc w:val="left"/>
      <w:pPr>
        <w:ind w:left="0" w:firstLine="0"/>
      </w:pPr>
      <w:rPr>
        <w:rFonts w:hint="default" w:ascii="Times New Roman" w:hAnsi="Times New Roman" w:eastAsia="宋体"/>
        <w:b w:val="0"/>
        <w:i w:val="0"/>
        <w:sz w:val="24"/>
      </w:rPr>
    </w:lvl>
    <w:lvl w:ilvl="7" w:tentative="0">
      <w:start w:val="1"/>
      <w:numFmt w:val="lowerLetter"/>
      <w:suff w:val="nothing"/>
      <w:lvlText w:val="%8）"/>
      <w:lvlJc w:val="left"/>
      <w:pPr>
        <w:ind w:left="0" w:firstLine="0"/>
      </w:pPr>
      <w:rPr>
        <w:rFonts w:hint="default" w:ascii="Times New Roman" w:hAnsi="Times New Roman" w:eastAsia="宋体"/>
        <w:b w:val="0"/>
        <w:i w:val="0"/>
        <w:sz w:val="24"/>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M4N2I3MTYyZWVkNGJmMTk4OTYxMzY1YmFkMDllNGQifQ=="/>
  </w:docVars>
  <w:rsids>
    <w:rsidRoot w:val="00B55A47"/>
    <w:rsid w:val="00073CD5"/>
    <w:rsid w:val="00076B57"/>
    <w:rsid w:val="0009428C"/>
    <w:rsid w:val="00094E35"/>
    <w:rsid w:val="000A7D7E"/>
    <w:rsid w:val="000B4DED"/>
    <w:rsid w:val="000B6855"/>
    <w:rsid w:val="000D1620"/>
    <w:rsid w:val="000E2285"/>
    <w:rsid w:val="000F37F9"/>
    <w:rsid w:val="00100AE0"/>
    <w:rsid w:val="00115FC9"/>
    <w:rsid w:val="0013620D"/>
    <w:rsid w:val="0016556E"/>
    <w:rsid w:val="001730FF"/>
    <w:rsid w:val="001C6872"/>
    <w:rsid w:val="001D5899"/>
    <w:rsid w:val="001F7EE1"/>
    <w:rsid w:val="00207B26"/>
    <w:rsid w:val="00234225"/>
    <w:rsid w:val="00255849"/>
    <w:rsid w:val="00273108"/>
    <w:rsid w:val="0028254A"/>
    <w:rsid w:val="0029090C"/>
    <w:rsid w:val="00295441"/>
    <w:rsid w:val="002A360B"/>
    <w:rsid w:val="002A386C"/>
    <w:rsid w:val="002B0416"/>
    <w:rsid w:val="002C359A"/>
    <w:rsid w:val="002E31EE"/>
    <w:rsid w:val="00302073"/>
    <w:rsid w:val="003027D7"/>
    <w:rsid w:val="003067AA"/>
    <w:rsid w:val="003246DC"/>
    <w:rsid w:val="003528BA"/>
    <w:rsid w:val="00363CCD"/>
    <w:rsid w:val="00371D5E"/>
    <w:rsid w:val="0038015C"/>
    <w:rsid w:val="003901ED"/>
    <w:rsid w:val="00393A81"/>
    <w:rsid w:val="003A378E"/>
    <w:rsid w:val="003B067B"/>
    <w:rsid w:val="00430B8B"/>
    <w:rsid w:val="00431055"/>
    <w:rsid w:val="004371CA"/>
    <w:rsid w:val="00441EB9"/>
    <w:rsid w:val="00443E86"/>
    <w:rsid w:val="00482004"/>
    <w:rsid w:val="0049318F"/>
    <w:rsid w:val="004C79B9"/>
    <w:rsid w:val="004D065E"/>
    <w:rsid w:val="004D79A2"/>
    <w:rsid w:val="0053723A"/>
    <w:rsid w:val="00550728"/>
    <w:rsid w:val="005575A0"/>
    <w:rsid w:val="00570F6F"/>
    <w:rsid w:val="00586E87"/>
    <w:rsid w:val="00590696"/>
    <w:rsid w:val="005A0C35"/>
    <w:rsid w:val="005C5758"/>
    <w:rsid w:val="005C59C1"/>
    <w:rsid w:val="005D3749"/>
    <w:rsid w:val="005E647F"/>
    <w:rsid w:val="005F3B72"/>
    <w:rsid w:val="00613B2B"/>
    <w:rsid w:val="00631B81"/>
    <w:rsid w:val="00634EB0"/>
    <w:rsid w:val="006516B7"/>
    <w:rsid w:val="00655211"/>
    <w:rsid w:val="00662482"/>
    <w:rsid w:val="006C25F7"/>
    <w:rsid w:val="006D45B7"/>
    <w:rsid w:val="006F18D1"/>
    <w:rsid w:val="00715E59"/>
    <w:rsid w:val="007316B5"/>
    <w:rsid w:val="0073665A"/>
    <w:rsid w:val="00766EF2"/>
    <w:rsid w:val="007746B9"/>
    <w:rsid w:val="00775004"/>
    <w:rsid w:val="007939CC"/>
    <w:rsid w:val="007A12E7"/>
    <w:rsid w:val="007C0E3B"/>
    <w:rsid w:val="007D5378"/>
    <w:rsid w:val="007E7C84"/>
    <w:rsid w:val="00824941"/>
    <w:rsid w:val="00826B56"/>
    <w:rsid w:val="00872BC2"/>
    <w:rsid w:val="00887AE4"/>
    <w:rsid w:val="00892FE9"/>
    <w:rsid w:val="008D28C9"/>
    <w:rsid w:val="008E7073"/>
    <w:rsid w:val="008F599F"/>
    <w:rsid w:val="00904609"/>
    <w:rsid w:val="00926FE2"/>
    <w:rsid w:val="00934B2D"/>
    <w:rsid w:val="009910B9"/>
    <w:rsid w:val="009B13BC"/>
    <w:rsid w:val="009B35AB"/>
    <w:rsid w:val="009F0ED5"/>
    <w:rsid w:val="00A0798A"/>
    <w:rsid w:val="00A20741"/>
    <w:rsid w:val="00A21FE0"/>
    <w:rsid w:val="00A40D31"/>
    <w:rsid w:val="00A5099C"/>
    <w:rsid w:val="00A51CEE"/>
    <w:rsid w:val="00A74FCD"/>
    <w:rsid w:val="00AC6317"/>
    <w:rsid w:val="00AC7818"/>
    <w:rsid w:val="00AD1444"/>
    <w:rsid w:val="00AD4EE3"/>
    <w:rsid w:val="00AE6AAB"/>
    <w:rsid w:val="00AF485F"/>
    <w:rsid w:val="00B04ACE"/>
    <w:rsid w:val="00B13117"/>
    <w:rsid w:val="00B51F87"/>
    <w:rsid w:val="00B55A47"/>
    <w:rsid w:val="00B7339F"/>
    <w:rsid w:val="00B900A3"/>
    <w:rsid w:val="00BA2557"/>
    <w:rsid w:val="00BB05FE"/>
    <w:rsid w:val="00BE72F8"/>
    <w:rsid w:val="00BF49A1"/>
    <w:rsid w:val="00BF6258"/>
    <w:rsid w:val="00C1398B"/>
    <w:rsid w:val="00C3736D"/>
    <w:rsid w:val="00C711EE"/>
    <w:rsid w:val="00C9345A"/>
    <w:rsid w:val="00CD24C5"/>
    <w:rsid w:val="00CD4EB0"/>
    <w:rsid w:val="00CD71AF"/>
    <w:rsid w:val="00D04FC1"/>
    <w:rsid w:val="00D311C4"/>
    <w:rsid w:val="00D42800"/>
    <w:rsid w:val="00D55D9F"/>
    <w:rsid w:val="00D61E7A"/>
    <w:rsid w:val="00D83028"/>
    <w:rsid w:val="00D90051"/>
    <w:rsid w:val="00D91442"/>
    <w:rsid w:val="00DD3713"/>
    <w:rsid w:val="00DE0553"/>
    <w:rsid w:val="00E33BCF"/>
    <w:rsid w:val="00E47241"/>
    <w:rsid w:val="00E5211F"/>
    <w:rsid w:val="00E669D4"/>
    <w:rsid w:val="00E76DD6"/>
    <w:rsid w:val="00E777CA"/>
    <w:rsid w:val="00EE5E72"/>
    <w:rsid w:val="00F00F1F"/>
    <w:rsid w:val="00F0423F"/>
    <w:rsid w:val="00F1672E"/>
    <w:rsid w:val="00F474B3"/>
    <w:rsid w:val="00F567AB"/>
    <w:rsid w:val="00F803F4"/>
    <w:rsid w:val="00F82C40"/>
    <w:rsid w:val="00FA10CF"/>
    <w:rsid w:val="00FB5969"/>
    <w:rsid w:val="00FB7D1F"/>
    <w:rsid w:val="00FE5BE6"/>
    <w:rsid w:val="03247B92"/>
    <w:rsid w:val="043D62BA"/>
    <w:rsid w:val="06DE3C27"/>
    <w:rsid w:val="07E301FD"/>
    <w:rsid w:val="08253C58"/>
    <w:rsid w:val="0A140392"/>
    <w:rsid w:val="0D945FE2"/>
    <w:rsid w:val="10572E1C"/>
    <w:rsid w:val="10680827"/>
    <w:rsid w:val="10B05248"/>
    <w:rsid w:val="118C31F0"/>
    <w:rsid w:val="16ED44DA"/>
    <w:rsid w:val="172B570A"/>
    <w:rsid w:val="17872AB3"/>
    <w:rsid w:val="1A466C29"/>
    <w:rsid w:val="1BF9722F"/>
    <w:rsid w:val="1D3658F2"/>
    <w:rsid w:val="1DDE1BE8"/>
    <w:rsid w:val="1E620680"/>
    <w:rsid w:val="1FD759C0"/>
    <w:rsid w:val="201D6424"/>
    <w:rsid w:val="22D60519"/>
    <w:rsid w:val="2540611D"/>
    <w:rsid w:val="258876D4"/>
    <w:rsid w:val="25EB3D63"/>
    <w:rsid w:val="26C64400"/>
    <w:rsid w:val="29015BC3"/>
    <w:rsid w:val="2A236C91"/>
    <w:rsid w:val="2CB86935"/>
    <w:rsid w:val="2EED68F5"/>
    <w:rsid w:val="2F1C3757"/>
    <w:rsid w:val="304D14EF"/>
    <w:rsid w:val="30DF0208"/>
    <w:rsid w:val="31740E3D"/>
    <w:rsid w:val="33A1177C"/>
    <w:rsid w:val="36372B1A"/>
    <w:rsid w:val="3643781B"/>
    <w:rsid w:val="3B216855"/>
    <w:rsid w:val="3BB45E27"/>
    <w:rsid w:val="3BB97FF0"/>
    <w:rsid w:val="40593923"/>
    <w:rsid w:val="414A7C46"/>
    <w:rsid w:val="41AA2E44"/>
    <w:rsid w:val="42B702DA"/>
    <w:rsid w:val="42E35BCB"/>
    <w:rsid w:val="46235307"/>
    <w:rsid w:val="468F1CCC"/>
    <w:rsid w:val="4812652E"/>
    <w:rsid w:val="492960B0"/>
    <w:rsid w:val="4A273284"/>
    <w:rsid w:val="4AD36F68"/>
    <w:rsid w:val="4B0B6F69"/>
    <w:rsid w:val="4F5E6588"/>
    <w:rsid w:val="4F844CD5"/>
    <w:rsid w:val="4FC63354"/>
    <w:rsid w:val="51C23FCD"/>
    <w:rsid w:val="525F10E1"/>
    <w:rsid w:val="53FE3BAE"/>
    <w:rsid w:val="55707DA2"/>
    <w:rsid w:val="57A85FDD"/>
    <w:rsid w:val="598F6750"/>
    <w:rsid w:val="59936689"/>
    <w:rsid w:val="5DED2353"/>
    <w:rsid w:val="610562A6"/>
    <w:rsid w:val="62110531"/>
    <w:rsid w:val="66560D21"/>
    <w:rsid w:val="66E225B5"/>
    <w:rsid w:val="67660541"/>
    <w:rsid w:val="6CCF6D90"/>
    <w:rsid w:val="6D6B7560"/>
    <w:rsid w:val="6EB97DB8"/>
    <w:rsid w:val="6EC6456A"/>
    <w:rsid w:val="6F4A6F49"/>
    <w:rsid w:val="712612F9"/>
    <w:rsid w:val="72E24D0F"/>
    <w:rsid w:val="73B01345"/>
    <w:rsid w:val="74C32E59"/>
    <w:rsid w:val="76592168"/>
    <w:rsid w:val="76D02541"/>
    <w:rsid w:val="7769462C"/>
    <w:rsid w:val="799A0ACD"/>
    <w:rsid w:val="7C3C75CC"/>
    <w:rsid w:val="7C9F1C6D"/>
    <w:rsid w:val="7D4F0D91"/>
    <w:rsid w:val="7DC85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pPr>
    <w:rPr>
      <w:rFonts w:ascii="Calibri" w:hAnsi="Calibri"/>
      <w:szCs w:val="22"/>
    </w:rPr>
  </w:style>
  <w:style w:type="paragraph" w:styleId="4">
    <w:name w:val="table of authorities"/>
    <w:basedOn w:val="1"/>
    <w:next w:val="1"/>
    <w:unhideWhenUsed/>
    <w:qFormat/>
    <w:uiPriority w:val="99"/>
    <w:pPr>
      <w:spacing w:before="100" w:beforeAutospacing="1" w:after="100" w:afterAutospacing="1"/>
      <w:ind w:left="420" w:leftChars="200"/>
    </w:pPr>
    <w:rPr>
      <w:rFonts w:ascii="Calibri" w:hAnsi="Calibri" w:cs="Calibri"/>
      <w:szCs w:val="21"/>
    </w:rPr>
  </w:style>
  <w:style w:type="paragraph" w:styleId="5">
    <w:name w:val="annotation text"/>
    <w:basedOn w:val="1"/>
    <w:link w:val="29"/>
    <w:qFormat/>
    <w:uiPriority w:val="0"/>
    <w:pPr>
      <w:jc w:val="left"/>
    </w:pPr>
  </w:style>
  <w:style w:type="paragraph" w:styleId="6">
    <w:name w:val="Body Text"/>
    <w:basedOn w:val="1"/>
    <w:qFormat/>
    <w:uiPriority w:val="0"/>
    <w:pPr>
      <w:spacing w:before="34"/>
      <w:ind w:left="593"/>
    </w:pPr>
    <w:rPr>
      <w:rFonts w:ascii="宋体" w:hAnsi="宋体"/>
      <w:sz w:val="24"/>
    </w:rPr>
  </w:style>
  <w:style w:type="paragraph" w:styleId="7">
    <w:name w:val="Body Text Indent"/>
    <w:basedOn w:val="1"/>
    <w:qFormat/>
    <w:uiPriority w:val="0"/>
    <w:pPr>
      <w:spacing w:after="120"/>
      <w:ind w:left="420" w:leftChars="200"/>
    </w:pPr>
  </w:style>
  <w:style w:type="paragraph" w:styleId="8">
    <w:name w:val="Date"/>
    <w:basedOn w:val="1"/>
    <w:next w:val="1"/>
    <w:link w:val="28"/>
    <w:qFormat/>
    <w:uiPriority w:val="0"/>
    <w:pPr>
      <w:ind w:left="100" w:leftChars="2500"/>
    </w:pPr>
  </w:style>
  <w:style w:type="paragraph" w:styleId="9">
    <w:name w:val="footer"/>
    <w:basedOn w:val="1"/>
    <w:unhideWhenUsed/>
    <w:qFormat/>
    <w:uiPriority w:val="99"/>
    <w:pPr>
      <w:tabs>
        <w:tab w:val="center" w:pos="4153"/>
        <w:tab w:val="right" w:pos="8306"/>
      </w:tabs>
      <w:snapToGrid w:val="0"/>
    </w:pPr>
    <w:rPr>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before="154"/>
      <w:ind w:left="6"/>
    </w:pPr>
    <w:rPr>
      <w:rFonts w:ascii="宋体" w:hAnsi="宋体"/>
      <w:sz w:val="24"/>
    </w:rPr>
  </w:style>
  <w:style w:type="paragraph" w:styleId="12">
    <w:name w:val="Normal (Web)"/>
    <w:basedOn w:val="1"/>
    <w:unhideWhenUsed/>
    <w:qFormat/>
    <w:uiPriority w:val="99"/>
    <w:pPr>
      <w:widowControl/>
      <w:spacing w:before="100" w:beforeAutospacing="1" w:after="100" w:afterAutospacing="1"/>
    </w:pPr>
    <w:rPr>
      <w:rFonts w:ascii="宋体" w:hAnsi="宋体" w:cs="宋体"/>
      <w:sz w:val="24"/>
    </w:rPr>
  </w:style>
  <w:style w:type="paragraph" w:styleId="13">
    <w:name w:val="annotation subject"/>
    <w:basedOn w:val="5"/>
    <w:next w:val="5"/>
    <w:link w:val="30"/>
    <w:qFormat/>
    <w:uiPriority w:val="0"/>
    <w:rPr>
      <w:b/>
      <w:bCs/>
    </w:rPr>
  </w:style>
  <w:style w:type="paragraph" w:styleId="14">
    <w:name w:val="Body Text First Indent"/>
    <w:basedOn w:val="6"/>
    <w:qFormat/>
    <w:uiPriority w:val="0"/>
    <w:pPr>
      <w:spacing w:before="0" w:after="120"/>
      <w:ind w:left="0" w:firstLine="420" w:firstLineChars="100"/>
    </w:pPr>
    <w:rPr>
      <w:rFonts w:ascii="Times New Roman" w:hAnsi="Times New Roman"/>
      <w:sz w:val="21"/>
    </w:rPr>
  </w:style>
  <w:style w:type="paragraph" w:styleId="15">
    <w:name w:val="Body Text First Indent 2"/>
    <w:basedOn w:val="7"/>
    <w:next w:val="1"/>
    <w:unhideWhenUsed/>
    <w:qFormat/>
    <w:uiPriority w:val="99"/>
    <w:pPr>
      <w:ind w:firstLine="420" w:firstLineChars="200"/>
    </w:pPr>
    <w:rPr>
      <w:rFonts w:eastAsiaTheme="minorEastAsia"/>
    </w:rPr>
  </w:style>
  <w:style w:type="character" w:styleId="18">
    <w:name w:val="Strong"/>
    <w:basedOn w:val="17"/>
    <w:qFormat/>
    <w:uiPriority w:val="0"/>
    <w:rPr>
      <w:b/>
    </w:rPr>
  </w:style>
  <w:style w:type="character" w:styleId="19">
    <w:name w:val="Hyperlink"/>
    <w:basedOn w:val="17"/>
    <w:qFormat/>
    <w:uiPriority w:val="0"/>
    <w:rPr>
      <w:color w:val="0026E5" w:themeColor="hyperlink"/>
      <w:u w:val="single"/>
      <w14:textFill>
        <w14:solidFill>
          <w14:schemeClr w14:val="hlink"/>
        </w14:solidFill>
      </w14:textFill>
    </w:rPr>
  </w:style>
  <w:style w:type="character" w:styleId="20">
    <w:name w:val="annotation reference"/>
    <w:basedOn w:val="17"/>
    <w:qFormat/>
    <w:uiPriority w:val="0"/>
    <w:rPr>
      <w:sz w:val="21"/>
      <w:szCs w:val="21"/>
    </w:rPr>
  </w:style>
  <w:style w:type="paragraph" w:customStyle="1" w:styleId="21">
    <w:name w:val="0-正文1"/>
    <w:basedOn w:val="1"/>
    <w:next w:val="15"/>
    <w:qFormat/>
    <w:uiPriority w:val="0"/>
    <w:pPr>
      <w:spacing w:before="120" w:after="120" w:line="300" w:lineRule="auto"/>
      <w:ind w:firstLine="200" w:firstLineChars="200"/>
      <w:textAlignment w:val="center"/>
    </w:pPr>
    <w:rPr>
      <w:color w:val="000000" w:themeColor="text1"/>
      <w14:textFill>
        <w14:solidFill>
          <w14:schemeClr w14:val="tx1"/>
        </w14:solidFill>
      </w14:textFill>
    </w:rPr>
  </w:style>
  <w:style w:type="paragraph" w:customStyle="1" w:styleId="22">
    <w:name w:val="0-5五级标题"/>
    <w:basedOn w:val="1"/>
    <w:next w:val="15"/>
    <w:qFormat/>
    <w:uiPriority w:val="0"/>
    <w:pPr>
      <w:numPr>
        <w:ilvl w:val="4"/>
        <w:numId w:val="1"/>
      </w:numPr>
      <w:spacing w:before="120" w:after="120" w:line="300" w:lineRule="auto"/>
      <w:outlineLvl w:val="4"/>
    </w:pPr>
  </w:style>
  <w:style w:type="paragraph" w:customStyle="1" w:styleId="23">
    <w:name w:val="Table Paragraph"/>
    <w:basedOn w:val="1"/>
    <w:qFormat/>
    <w:uiPriority w:val="1"/>
  </w:style>
  <w:style w:type="table" w:customStyle="1" w:styleId="24">
    <w:name w:val="Table Normal"/>
    <w:semiHidden/>
    <w:unhideWhenUsed/>
    <w:qFormat/>
    <w:uiPriority w:val="2"/>
    <w:tblPr>
      <w:tblCellMar>
        <w:top w:w="0" w:type="dxa"/>
        <w:left w:w="0" w:type="dxa"/>
        <w:bottom w:w="0" w:type="dxa"/>
        <w:right w:w="0" w:type="dxa"/>
      </w:tblCellMar>
    </w:tblPr>
  </w:style>
  <w:style w:type="character" w:customStyle="1" w:styleId="25">
    <w:name w:val="无"/>
    <w:qFormat/>
    <w:uiPriority w:val="0"/>
  </w:style>
  <w:style w:type="paragraph" w:styleId="26">
    <w:name w:val="List Paragraph"/>
    <w:basedOn w:val="1"/>
    <w:qFormat/>
    <w:uiPriority w:val="34"/>
    <w:pPr>
      <w:adjustRightInd w:val="0"/>
      <w:spacing w:line="500" w:lineRule="exact"/>
      <w:ind w:firstLine="420" w:firstLineChars="200"/>
      <w:textAlignment w:val="baseline"/>
    </w:pPr>
    <w:rPr>
      <w:szCs w:val="20"/>
    </w:rPr>
  </w:style>
  <w:style w:type="character" w:customStyle="1" w:styleId="27">
    <w:name w:val="未处理的提及1"/>
    <w:basedOn w:val="17"/>
    <w:semiHidden/>
    <w:unhideWhenUsed/>
    <w:qFormat/>
    <w:uiPriority w:val="99"/>
    <w:rPr>
      <w:color w:val="605E5C"/>
      <w:shd w:val="clear" w:color="auto" w:fill="E1DFDD"/>
    </w:rPr>
  </w:style>
  <w:style w:type="character" w:customStyle="1" w:styleId="28">
    <w:name w:val="日期 字符"/>
    <w:basedOn w:val="17"/>
    <w:link w:val="8"/>
    <w:qFormat/>
    <w:uiPriority w:val="0"/>
    <w:rPr>
      <w:kern w:val="2"/>
      <w:sz w:val="21"/>
      <w:szCs w:val="24"/>
    </w:rPr>
  </w:style>
  <w:style w:type="character" w:customStyle="1" w:styleId="29">
    <w:name w:val="批注文字 字符"/>
    <w:basedOn w:val="17"/>
    <w:link w:val="5"/>
    <w:qFormat/>
    <w:uiPriority w:val="0"/>
    <w:rPr>
      <w:kern w:val="2"/>
      <w:sz w:val="21"/>
      <w:szCs w:val="24"/>
    </w:rPr>
  </w:style>
  <w:style w:type="character" w:customStyle="1" w:styleId="30">
    <w:name w:val="批注主题 字符"/>
    <w:basedOn w:val="29"/>
    <w:link w:val="13"/>
    <w:qFormat/>
    <w:uiPriority w:val="0"/>
    <w:rPr>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3681</Words>
  <Characters>3922</Characters>
  <Lines>34</Lines>
  <Paragraphs>9</Paragraphs>
  <TotalTime>13</TotalTime>
  <ScaleCrop>false</ScaleCrop>
  <LinksUpToDate>false</LinksUpToDate>
  <CharactersWithSpaces>4088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2024-07-11T03:21:00Z</dcterms:created>
  <dc:creator>123</dc:creator>
  <cp:lastModifiedBy>舒鑫朋</cp:lastModifiedBy>
  <cp:lastPrinted>2024-12-13T07:24:00Z</cp:lastPrinted>
  <dcterms:modified xsi:type="dcterms:W3CDTF">2024-12-13T09:00:36Z</dcterms:modified>
  <dc:title>西塞山沿江人居环境整治项目（二期）—</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CE3D65D77B0D466B85AB57C7B1E9541C</vt:lpwstr>
  </property>
</Properties>
</file>