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29" w:line="440" w:lineRule="exact"/>
        <w:ind w:left="0" w:right="18"/>
        <w:rPr>
          <w:sz w:val="44"/>
          <w:szCs w:val="44"/>
        </w:rPr>
      </w:pPr>
      <w:r>
        <w:rPr>
          <w:rFonts w:hint="eastAsia"/>
          <w:sz w:val="28"/>
          <w:szCs w:val="28"/>
        </w:rPr>
        <w:t>附表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 xml:space="preserve">：         </w:t>
      </w:r>
      <w:r>
        <w:rPr>
          <w:rFonts w:hint="eastAsia"/>
          <w:sz w:val="44"/>
          <w:szCs w:val="44"/>
        </w:rPr>
        <w:t xml:space="preserve">     </w:t>
      </w:r>
    </w:p>
    <w:p>
      <w:pPr>
        <w:pStyle w:val="4"/>
        <w:spacing w:before="29" w:line="440" w:lineRule="exact"/>
        <w:ind w:left="0" w:right="18"/>
        <w:jc w:val="center"/>
      </w:pPr>
      <w:r>
        <w:rPr>
          <w:rFonts w:hint="eastAsia"/>
          <w:sz w:val="44"/>
          <w:szCs w:val="44"/>
        </w:rPr>
        <w:t>评分办法</w:t>
      </w:r>
      <w:bookmarkStart w:id="0" w:name="_Toc2554"/>
    </w:p>
    <w:bookmarkEnd w:id="0"/>
    <w:tbl>
      <w:tblPr>
        <w:tblStyle w:val="17"/>
        <w:tblW w:w="893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78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084" w:type="dxa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  <w:r>
              <w:rPr>
                <w:rFonts w:hint="eastAsia"/>
                <w:sz w:val="21"/>
                <w:szCs w:val="21"/>
                <w:lang w:val="zh-CN"/>
              </w:rPr>
              <w:t>评分类别</w:t>
            </w:r>
          </w:p>
        </w:tc>
        <w:tc>
          <w:tcPr>
            <w:tcW w:w="7848" w:type="dxa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  <w:r>
              <w:rPr>
                <w:rFonts w:hint="eastAsia"/>
                <w:sz w:val="21"/>
                <w:szCs w:val="21"/>
                <w:lang w:val="zh-CN"/>
              </w:rPr>
              <w:t>具体评审细则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1084" w:type="dxa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zh-CN"/>
              </w:rPr>
              <w:t>投标</w:t>
            </w:r>
          </w:p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zh-CN"/>
              </w:rPr>
              <w:t>报价</w:t>
            </w:r>
          </w:p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20</w:t>
            </w:r>
            <w:r>
              <w:rPr>
                <w:rFonts w:hint="eastAsia"/>
                <w:sz w:val="21"/>
                <w:szCs w:val="21"/>
                <w:highlight w:val="none"/>
                <w:lang w:val="zh-CN"/>
              </w:rPr>
              <w:t>分</w:t>
            </w: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1、满足招标文件规定且在招标控制价以内的有效报价得基本分10分</w:t>
            </w:r>
          </w:p>
          <w:p>
            <w:pPr>
              <w:spacing w:line="36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2、竞争分10分按以下标准评审：</w:t>
            </w:r>
          </w:p>
          <w:p>
            <w:pPr>
              <w:spacing w:line="36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F＝10- （投标人评标价-评标基准价）÷评标基准价× 100×0.8（评标价＞基准价时）</w:t>
            </w:r>
          </w:p>
          <w:p>
            <w:pPr>
              <w:spacing w:line="36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F＝10- （评标基准价-投标人评标价）÷评标基准价× 100×0.5（评标价≤基准价时）</w:t>
            </w:r>
          </w:p>
          <w:p>
            <w:pPr>
              <w:spacing w:line="36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其中：商务标F≥0。 评标基准价计算方法：以所有有效最终投标报价的算术平均值作为评标基准价，如有效的最终投标报价大于</w:t>
            </w:r>
            <w:bookmarkStart w:id="1" w:name="_GoBack"/>
            <w:bookmarkEnd w:id="1"/>
            <w:r>
              <w:rPr>
                <w:rFonts w:hint="eastAsia"/>
                <w:highlight w:val="none"/>
              </w:rPr>
              <w:t>等于5家时，则去掉最高报价和最低报价后的算术平均值作为评标基准价。</w:t>
            </w:r>
          </w:p>
          <w:p>
            <w:pPr>
              <w:spacing w:line="360" w:lineRule="exact"/>
              <w:rPr>
                <w:highlight w:val="none"/>
                <w:lang w:val="zh-CN"/>
              </w:rPr>
            </w:pPr>
            <w:r>
              <w:rPr>
                <w:rFonts w:hint="eastAsia"/>
                <w:highlight w:val="none"/>
              </w:rPr>
              <w:t>（最终计算结果得分值精确到小数点后二位，第三位四舍五入）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1084" w:type="dxa"/>
            <w:vMerge w:val="restart"/>
            <w:tcBorders>
              <w:top w:val="nil"/>
            </w:tcBorders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  <w:r>
              <w:rPr>
                <w:rFonts w:hint="eastAsia"/>
                <w:sz w:val="21"/>
                <w:szCs w:val="21"/>
                <w:lang w:val="zh-CN"/>
              </w:rPr>
              <w:t>技术</w:t>
            </w:r>
          </w:p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部分</w:t>
            </w:r>
          </w:p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/>
                <w:sz w:val="21"/>
                <w:szCs w:val="21"/>
                <w:lang w:val="zh-CN"/>
              </w:rPr>
              <w:t>5分</w:t>
            </w: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  <w:rPr>
                <w:lang w:val="zh-CN"/>
              </w:rPr>
            </w:pPr>
            <w:r>
              <w:rPr>
                <w:rFonts w:hint="eastAsia"/>
              </w:rPr>
              <w:t>综合评审对项目需求的理解、服务项目定位和目标确定，以及项目实施各方案中工作计划、方法流程、时间安排等方面的考虑。针对性、合理、可</w:t>
            </w:r>
            <w:r>
              <w:rPr>
                <w:rFonts w:hint="eastAsia"/>
                <w:highlight w:val="none"/>
              </w:rPr>
              <w:t>行</w:t>
            </w:r>
            <w:r>
              <w:rPr>
                <w:rFonts w:hint="eastAsia"/>
                <w:highlight w:val="none"/>
                <w:lang w:val="en-US" w:eastAsia="zh-CN"/>
              </w:rPr>
              <w:t>0</w:t>
            </w:r>
            <w:r>
              <w:rPr>
                <w:rFonts w:hint="eastAsia"/>
                <w:highlight w:val="none"/>
              </w:rPr>
              <w:t>-</w:t>
            </w:r>
            <w:r>
              <w:rPr>
                <w:rFonts w:hint="eastAsia"/>
                <w:highlight w:val="none"/>
                <w:lang w:val="en-US" w:eastAsia="zh-CN"/>
              </w:rPr>
              <w:t>10</w:t>
            </w:r>
            <w:r>
              <w:rPr>
                <w:rFonts w:hint="eastAsia"/>
                <w:highlight w:val="none"/>
              </w:rPr>
              <w:t>分，未</w:t>
            </w:r>
            <w:r>
              <w:rPr>
                <w:rFonts w:hint="eastAsia"/>
              </w:rPr>
              <w:t>提供或提供无效的不得分。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</w:pPr>
            <w:r>
              <w:rPr>
                <w:rFonts w:hint="eastAsia"/>
                <w:lang w:val="en-US" w:eastAsia="zh-CN"/>
              </w:rPr>
              <w:t>测绘</w:t>
            </w:r>
            <w:r>
              <w:rPr>
                <w:rFonts w:hint="eastAsia"/>
              </w:rPr>
              <w:t>方案的工作实施的组织和技术措施科学。针对性、完整性、合理、可行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分，未提供或提供无效的不得分。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  <w:rPr>
                <w:lang w:val="zh-CN"/>
              </w:rPr>
            </w:pPr>
            <w:r>
              <w:rPr>
                <w:rFonts w:hint="eastAsia"/>
              </w:rPr>
              <w:t>技术设备先进，</w:t>
            </w:r>
            <w:r>
              <w:rPr>
                <w:rFonts w:hint="eastAsia"/>
                <w:lang w:val="en-US" w:eastAsia="zh-CN"/>
              </w:rPr>
              <w:t>测绘</w:t>
            </w:r>
            <w:r>
              <w:rPr>
                <w:rFonts w:hint="eastAsia"/>
              </w:rPr>
              <w:t>方法合理。方法合理性</w:t>
            </w:r>
            <w:r>
              <w:rPr>
                <w:rFonts w:hint="eastAsia"/>
                <w:lang w:val="en-US" w:eastAsia="zh-CN"/>
              </w:rPr>
              <w:t>横向比较得分0</w:t>
            </w:r>
            <w:r>
              <w:rPr>
                <w:rFonts w:hint="eastAsia"/>
              </w:rPr>
              <w:t>-5分，未提供或提供无效的不得分。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</w:rPr>
            </w:pP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对本项目第</w:t>
            </w:r>
            <w:r>
              <w:rPr>
                <w:rFonts w:hint="eastAsia"/>
                <w:lang w:val="en-US" w:eastAsia="zh-CN"/>
              </w:rPr>
              <w:t>测绘服</w:t>
            </w:r>
            <w:r>
              <w:rPr>
                <w:rFonts w:hint="eastAsia"/>
              </w:rPr>
              <w:t>务关键点把握和实施方案合理。合理性</w:t>
            </w:r>
            <w:r>
              <w:rPr>
                <w:rFonts w:hint="eastAsia"/>
                <w:lang w:val="en-US" w:eastAsia="zh-CN"/>
              </w:rPr>
              <w:t>横向比较得分0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未提供或提供无效的不得分。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</w:rPr>
            </w:pP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有完善的质量控制措施、</w:t>
            </w:r>
            <w:r>
              <w:rPr>
                <w:rFonts w:hint="eastAsia"/>
                <w:lang w:val="en-US" w:eastAsia="zh-CN"/>
              </w:rPr>
              <w:t>现场测绘</w:t>
            </w:r>
            <w:r>
              <w:rPr>
                <w:rFonts w:hint="eastAsia"/>
              </w:rPr>
              <w:t>保证措施。</w:t>
            </w:r>
            <w:r>
              <w:rPr>
                <w:rFonts w:hint="eastAsia"/>
                <w:lang w:val="en-US" w:eastAsia="zh-CN"/>
              </w:rPr>
              <w:t>措施合理性横向比较得分0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分，未提供或提供无效的不得分。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1084" w:type="dxa"/>
            <w:vMerge w:val="restart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商务</w:t>
            </w:r>
          </w:p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部分</w:t>
            </w:r>
          </w:p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sz w:val="21"/>
                <w:szCs w:val="21"/>
                <w:highlight w:val="none"/>
              </w:rPr>
              <w:t>5</w:t>
            </w:r>
            <w:r>
              <w:rPr>
                <w:rFonts w:hint="eastAsia"/>
                <w:sz w:val="21"/>
                <w:szCs w:val="21"/>
                <w:lang w:val="zh-CN"/>
              </w:rPr>
              <w:t>分</w:t>
            </w:r>
          </w:p>
        </w:tc>
        <w:tc>
          <w:tcPr>
            <w:tcW w:w="7848" w:type="dxa"/>
            <w:tcBorders>
              <w:bottom w:val="single" w:color="000000" w:sz="6" w:space="0"/>
            </w:tcBorders>
            <w:vAlign w:val="center"/>
          </w:tcPr>
          <w:p>
            <w:pPr>
              <w:spacing w:line="360" w:lineRule="exact"/>
            </w:pPr>
            <w:r>
              <w:rPr>
                <w:rFonts w:hint="eastAsia"/>
                <w:lang w:val="en-US" w:eastAsia="zh-CN"/>
              </w:rPr>
              <w:t>投标人</w:t>
            </w:r>
            <w:r>
              <w:rPr>
                <w:rFonts w:hint="eastAsia"/>
              </w:rPr>
              <w:t>近三年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2021年5月1日</w:t>
            </w:r>
            <w:r>
              <w:rPr>
                <w:rFonts w:hint="eastAsia"/>
                <w:lang w:val="en-US" w:eastAsia="zh-CN"/>
              </w:rPr>
              <w:t>至今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至今承接过</w:t>
            </w:r>
            <w:r>
              <w:rPr>
                <w:rFonts w:hint="eastAsia"/>
                <w:lang w:val="en-US" w:eastAsia="zh-CN"/>
              </w:rPr>
              <w:t>20万及以上测绘项目</w:t>
            </w:r>
            <w:r>
              <w:rPr>
                <w:rFonts w:hint="eastAsia"/>
              </w:rPr>
              <w:t>，每提供一份有效业绩得5分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  <w:lang w:val="en-US" w:eastAsia="zh-CN"/>
              </w:rPr>
              <w:t>10万及以上测绘项目</w:t>
            </w:r>
            <w:r>
              <w:rPr>
                <w:rFonts w:hint="eastAsia"/>
              </w:rPr>
              <w:t>，每提供一份有效业绩得3分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</w:rPr>
              <w:t>其他</w:t>
            </w:r>
            <w:r>
              <w:rPr>
                <w:rFonts w:hint="eastAsia"/>
                <w:lang w:val="en-US" w:eastAsia="zh-CN"/>
              </w:rPr>
              <w:t>低于2万及以下测绘项目</w:t>
            </w:r>
            <w:r>
              <w:rPr>
                <w:rFonts w:hint="eastAsia"/>
              </w:rPr>
              <w:t>，每提供一份有效业绩得2分</w:t>
            </w:r>
            <w:r>
              <w:rPr>
                <w:rFonts w:hint="eastAsia"/>
                <w:lang w:eastAsia="zh-CN"/>
              </w:rPr>
              <w:t>。</w:t>
            </w:r>
            <w:r>
              <w:rPr>
                <w:rFonts w:hint="eastAsia"/>
                <w:lang w:val="en-US" w:eastAsia="zh-CN"/>
              </w:rPr>
              <w:t>同一项目按最高等级得分，不可重复，本项</w:t>
            </w:r>
            <w:r>
              <w:rPr>
                <w:rFonts w:hint="eastAsia"/>
              </w:rPr>
              <w:t>最高15分：</w:t>
            </w:r>
          </w:p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</w:rPr>
              <w:t>注：提供业绩合同或协议材料（以签订合同或协议时间为准）复印件加盖</w:t>
            </w:r>
            <w:r>
              <w:rPr>
                <w:rFonts w:hint="eastAsia"/>
                <w:lang w:val="en-US" w:eastAsia="zh-CN"/>
              </w:rPr>
              <w:t>投标人</w:t>
            </w:r>
            <w:r>
              <w:rPr>
                <w:rFonts w:hint="eastAsia"/>
              </w:rPr>
              <w:t>公章，未提供或提供不合格的不得分。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rPr>
                <w:sz w:val="21"/>
                <w:szCs w:val="21"/>
                <w:lang w:val="zh-CN"/>
              </w:rPr>
            </w:pPr>
          </w:p>
        </w:tc>
        <w:tc>
          <w:tcPr>
            <w:tcW w:w="7848" w:type="dxa"/>
            <w:tcBorders>
              <w:top w:val="single" w:color="000000" w:sz="6" w:space="0"/>
            </w:tcBorders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拟派项目</w:t>
            </w:r>
            <w:r>
              <w:rPr>
                <w:rFonts w:hint="eastAsia"/>
                <w:lang w:val="en-US" w:eastAsia="zh-CN"/>
              </w:rPr>
              <w:t>团队</w:t>
            </w:r>
            <w:r>
              <w:rPr>
                <w:rFonts w:hint="eastAsia"/>
              </w:rPr>
              <w:t>具备</w:t>
            </w:r>
            <w:r>
              <w:rPr>
                <w:rFonts w:hint="eastAsia"/>
                <w:lang w:val="en-US" w:eastAsia="zh-CN"/>
              </w:rPr>
              <w:t>测绘</w:t>
            </w:r>
            <w:r>
              <w:rPr>
                <w:rFonts w:hint="eastAsia"/>
              </w:rPr>
              <w:t>类高级工程师职称证书</w:t>
            </w:r>
            <w:r>
              <w:rPr>
                <w:rFonts w:hint="eastAsia"/>
                <w:lang w:val="en-US" w:eastAsia="zh-CN"/>
              </w:rPr>
              <w:t>每提供一个</w:t>
            </w:r>
            <w:r>
              <w:rPr>
                <w:rFonts w:hint="eastAsia"/>
              </w:rPr>
              <w:t>得5分，最高得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分。</w:t>
            </w:r>
          </w:p>
          <w:p>
            <w:pPr>
              <w:spacing w:line="360" w:lineRule="exact"/>
            </w:pPr>
            <w:r>
              <w:rPr>
                <w:rFonts w:hint="eastAsia"/>
              </w:rPr>
              <w:t>注：提供项目负责人职称证书及开标前近6个月内（不含开标当月）的社保证明材料复印件加盖供应商公章，按最高职称计分且不重复计分，未提供或提供不合格的不得分。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rPr>
                <w:sz w:val="21"/>
                <w:szCs w:val="21"/>
                <w:lang w:val="zh-CN"/>
              </w:rPr>
            </w:pPr>
          </w:p>
        </w:tc>
        <w:tc>
          <w:tcPr>
            <w:tcW w:w="7848" w:type="dxa"/>
            <w:tcBorders>
              <w:top w:val="single" w:color="000000" w:sz="6" w:space="0"/>
            </w:tcBorders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1.响应供应商</w:t>
            </w:r>
            <w:r>
              <w:rPr>
                <w:rFonts w:hint="eastAsia"/>
                <w:lang w:val="en-US" w:eastAsia="zh-CN"/>
              </w:rPr>
              <w:t>提供一份高新证书得8分，</w:t>
            </w:r>
            <w:r>
              <w:rPr>
                <w:rFonts w:hint="eastAsia"/>
              </w:rPr>
              <w:t>最高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分。</w:t>
            </w:r>
          </w:p>
          <w:p>
            <w:pPr>
              <w:spacing w:line="360" w:lineRule="exac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注：提供高新复印件加盖供应商工作，未提供或提供不合格的不得分。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rPr>
                <w:sz w:val="21"/>
                <w:szCs w:val="21"/>
                <w:lang w:val="zh-CN"/>
              </w:rPr>
            </w:pP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未收到建设行政监管部门做出的行政处罚的得2分；有一项扣0.2分，扣完为止。（查询结果以评标委员会开标当天在“信用中国”查询投标人有行政处罚记录信息且在公示期内的予以记分）不重复扣分，扣完为止。</w:t>
            </w:r>
          </w:p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</w:rPr>
              <w:t>注：行政处罚是指投标人因违法经营受到刑事处罚或者责令停产、停业整顿、吊销许可证或者执照、较大数额罚款（在人民币5万元以上）等行政处罚。</w:t>
            </w:r>
          </w:p>
        </w:tc>
      </w:tr>
    </w:tbl>
    <w:p>
      <w:pPr>
        <w:pStyle w:val="4"/>
        <w:spacing w:before="29" w:line="440" w:lineRule="exact"/>
        <w:ind w:left="0" w:right="18"/>
      </w:pPr>
    </w:p>
    <w:sectPr>
      <w:pgSz w:w="11906" w:h="16838"/>
      <w:pgMar w:top="102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B6FD0"/>
    <w:multiLevelType w:val="multilevel"/>
    <w:tmpl w:val="64DB6FD0"/>
    <w:lvl w:ilvl="0" w:tentative="0">
      <w:start w:val="1"/>
      <w:numFmt w:val="decimal"/>
      <w:lvlText w:val="%1."/>
      <w:lvlJc w:val="left"/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32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"/>
      <w:lvlJc w:val="left"/>
      <w:pPr>
        <w:ind w:left="284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15"/>
      <w:suff w:val="nothing"/>
      <w:lvlText w:val="（%5）"/>
      <w:lvlJc w:val="left"/>
      <w:pPr>
        <w:ind w:left="425" w:firstLine="0"/>
      </w:pPr>
      <w:rPr>
        <w:rFonts w:hint="default" w:ascii="Times New Roman" w:hAnsi="Times New Roman" w:eastAsia="宋体"/>
        <w:lang w:val="en-US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6" w:tentative="0">
      <w:start w:val="1"/>
      <w:numFmt w:val="lowerLetter"/>
      <w:suff w:val="nothing"/>
      <w:lvlText w:val="%7.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4YWY0OGZlNzUzMGM3NzBkOGU5YzE5NmQ0YmYyYjQifQ=="/>
  </w:docVars>
  <w:rsids>
    <w:rsidRoot w:val="00B55A47"/>
    <w:rsid w:val="000D1620"/>
    <w:rsid w:val="001D5899"/>
    <w:rsid w:val="002C359A"/>
    <w:rsid w:val="003A378E"/>
    <w:rsid w:val="004C79B9"/>
    <w:rsid w:val="004D79A2"/>
    <w:rsid w:val="00B55A47"/>
    <w:rsid w:val="00DD3713"/>
    <w:rsid w:val="05DE1C01"/>
    <w:rsid w:val="08253C58"/>
    <w:rsid w:val="10052EEE"/>
    <w:rsid w:val="10572E1C"/>
    <w:rsid w:val="10B63FE7"/>
    <w:rsid w:val="172B570A"/>
    <w:rsid w:val="17872AB3"/>
    <w:rsid w:val="1C161FA5"/>
    <w:rsid w:val="1D7F7EA3"/>
    <w:rsid w:val="22D60519"/>
    <w:rsid w:val="23FC19CF"/>
    <w:rsid w:val="2AD76716"/>
    <w:rsid w:val="2CB86935"/>
    <w:rsid w:val="2EED68F5"/>
    <w:rsid w:val="2F1C3757"/>
    <w:rsid w:val="36FA4754"/>
    <w:rsid w:val="492960B0"/>
    <w:rsid w:val="4F3B1CB4"/>
    <w:rsid w:val="525F10E1"/>
    <w:rsid w:val="544F1A37"/>
    <w:rsid w:val="58FF52B1"/>
    <w:rsid w:val="5B6F1A7E"/>
    <w:rsid w:val="5E8425FB"/>
    <w:rsid w:val="65B80DDC"/>
    <w:rsid w:val="72876B57"/>
    <w:rsid w:val="73B01345"/>
    <w:rsid w:val="76592168"/>
    <w:rsid w:val="76D02541"/>
    <w:rsid w:val="77AD2167"/>
    <w:rsid w:val="7D2A03BA"/>
    <w:rsid w:val="7D4F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cs="Calibri"/>
      <w:szCs w:val="21"/>
    </w:rPr>
  </w:style>
  <w:style w:type="paragraph" w:styleId="4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10">
    <w:name w:val="Body Text First Indent"/>
    <w:basedOn w:val="4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11">
    <w:name w:val="Body Text First Indent 2"/>
    <w:basedOn w:val="5"/>
    <w:next w:val="1"/>
    <w:unhideWhenUsed/>
    <w:qFormat/>
    <w:uiPriority w:val="99"/>
    <w:pPr>
      <w:ind w:firstLine="420" w:firstLineChars="200"/>
    </w:pPr>
    <w:rPr>
      <w:rFonts w:eastAsiaTheme="minorEastAsia"/>
    </w:rPr>
  </w:style>
  <w:style w:type="paragraph" w:customStyle="1" w:styleId="14">
    <w:name w:val="0-正文1"/>
    <w:basedOn w:val="1"/>
    <w:next w:val="11"/>
    <w:qFormat/>
    <w:uiPriority w:val="0"/>
    <w:pPr>
      <w:spacing w:before="120" w:after="120" w:line="300" w:lineRule="auto"/>
      <w:ind w:firstLine="200" w:firstLineChars="200"/>
      <w:textAlignment w:val="center"/>
    </w:pPr>
    <w:rPr>
      <w:color w:val="000000" w:themeColor="text1"/>
      <w14:textFill>
        <w14:solidFill>
          <w14:schemeClr w14:val="tx1"/>
        </w14:solidFill>
      </w14:textFill>
    </w:rPr>
  </w:style>
  <w:style w:type="paragraph" w:customStyle="1" w:styleId="15">
    <w:name w:val="0-5五级标题"/>
    <w:basedOn w:val="1"/>
    <w:next w:val="11"/>
    <w:qFormat/>
    <w:uiPriority w:val="0"/>
    <w:pPr>
      <w:numPr>
        <w:ilvl w:val="4"/>
        <w:numId w:val="1"/>
      </w:numPr>
      <w:spacing w:before="120" w:after="120" w:line="300" w:lineRule="auto"/>
      <w:outlineLvl w:val="4"/>
    </w:pPr>
  </w:style>
  <w:style w:type="paragraph" w:customStyle="1" w:styleId="16">
    <w:name w:val="Table Paragraph"/>
    <w:basedOn w:val="1"/>
    <w:qFormat/>
    <w:uiPriority w:val="1"/>
  </w:style>
  <w:style w:type="table" w:customStyle="1" w:styleId="1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8">
    <w:name w:val="无"/>
    <w:qFormat/>
    <w:uiPriority w:val="0"/>
  </w:style>
  <w:style w:type="paragraph" w:styleId="19">
    <w:name w:val="List Paragraph"/>
    <w:basedOn w:val="1"/>
    <w:qFormat/>
    <w:uiPriority w:val="34"/>
    <w:pPr>
      <w:adjustRightInd w:val="0"/>
      <w:spacing w:line="500" w:lineRule="exact"/>
      <w:ind w:firstLine="420" w:firstLineChars="200"/>
      <w:textAlignment w:val="baseline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2557</Words>
  <Characters>2721</Characters>
  <Lines>28</Lines>
  <Paragraphs>7</Paragraphs>
  <TotalTime>42</TotalTime>
  <ScaleCrop>false</ScaleCrop>
  <LinksUpToDate>false</LinksUpToDate>
  <CharactersWithSpaces>2766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2024-06-05T06:50:00Z</dcterms:created>
  <dc:creator>123</dc:creator>
  <cp:lastModifiedBy>Administrator</cp:lastModifiedBy>
  <cp:lastPrinted>2024-11-23T06:48:00Z</cp:lastPrinted>
  <dcterms:modified xsi:type="dcterms:W3CDTF">2024-11-23T07:34:16Z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5525A6AB7EEB4792A35E123666D0BE17</vt:lpwstr>
  </property>
</Properties>
</file>