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29" w:line="440" w:lineRule="exact"/>
        <w:ind w:left="0" w:right="18"/>
        <w:rPr>
          <w:sz w:val="44"/>
          <w:szCs w:val="44"/>
        </w:rPr>
      </w:pPr>
      <w:r>
        <w:rPr>
          <w:rFonts w:hint="eastAsia"/>
          <w:sz w:val="28"/>
          <w:szCs w:val="28"/>
        </w:rPr>
        <w:t xml:space="preserve">附件3：         </w:t>
      </w:r>
      <w:r>
        <w:rPr>
          <w:rFonts w:hint="eastAsia"/>
          <w:sz w:val="44"/>
          <w:szCs w:val="44"/>
        </w:rPr>
        <w:t xml:space="preserve">     </w:t>
      </w:r>
    </w:p>
    <w:p>
      <w:pPr>
        <w:pStyle w:val="4"/>
        <w:spacing w:before="29" w:line="440" w:lineRule="exact"/>
        <w:ind w:left="0" w:right="18"/>
        <w:jc w:val="center"/>
        <w:rPr>
          <w:sz w:val="44"/>
          <w:szCs w:val="44"/>
        </w:rPr>
      </w:pPr>
      <w:r>
        <w:rPr>
          <w:rFonts w:hint="eastAsia"/>
          <w:sz w:val="44"/>
          <w:szCs w:val="44"/>
        </w:rPr>
        <w:t>评标办法</w:t>
      </w:r>
      <w:bookmarkStart w:id="0" w:name="_Toc2554"/>
    </w:p>
    <w:p>
      <w:pPr>
        <w:spacing w:before="36" w:line="440" w:lineRule="exact"/>
        <w:ind w:right="18" w:firstLine="422" w:firstLineChars="200"/>
        <w:rPr>
          <w:rFonts w:ascii="宋体" w:hAnsi="宋体" w:cs="宋体"/>
          <w:b/>
          <w:bCs/>
          <w:sz w:val="24"/>
        </w:rPr>
      </w:pPr>
      <w:r>
        <w:rPr>
          <w:rFonts w:hint="eastAsia"/>
          <w:b/>
          <w:bCs/>
        </w:rPr>
        <w:t>一</w:t>
      </w:r>
      <w:r>
        <w:rPr>
          <w:rFonts w:hint="eastAsia" w:ascii="宋体" w:hAnsi="宋体" w:cs="宋体"/>
          <w:b/>
          <w:bCs/>
          <w:sz w:val="24"/>
        </w:rPr>
        <w:t>、详细评审</w:t>
      </w:r>
    </w:p>
    <w:p>
      <w:pPr>
        <w:spacing w:before="36" w:line="440" w:lineRule="exact"/>
        <w:ind w:right="18" w:firstLine="480" w:firstLineChars="200"/>
        <w:rPr>
          <w:rFonts w:ascii="宋体" w:hAnsi="宋体" w:cs="宋体"/>
          <w:sz w:val="24"/>
        </w:rPr>
      </w:pPr>
      <w:r>
        <w:rPr>
          <w:rFonts w:hint="eastAsia" w:ascii="宋体" w:hAnsi="宋体" w:cs="宋体"/>
          <w:sz w:val="24"/>
        </w:rPr>
        <w:t>1.投标人投标报价高于招标控制价的为废标。</w:t>
      </w:r>
    </w:p>
    <w:p>
      <w:pPr>
        <w:spacing w:before="36" w:line="440" w:lineRule="exact"/>
        <w:ind w:right="18" w:firstLine="480" w:firstLineChars="200"/>
        <w:rPr>
          <w:rFonts w:ascii="宋体" w:hAnsi="宋体" w:cs="宋体"/>
          <w:sz w:val="24"/>
        </w:rPr>
      </w:pPr>
      <w:r>
        <w:rPr>
          <w:rFonts w:hint="eastAsia" w:ascii="宋体" w:hAnsi="宋体" w:cs="宋体"/>
          <w:sz w:val="24"/>
        </w:rPr>
        <w:t>2.评标委员会只对通过初步评审的投标文件进行评价和比较。</w:t>
      </w:r>
    </w:p>
    <w:p>
      <w:pPr>
        <w:spacing w:before="36" w:line="440" w:lineRule="exact"/>
        <w:ind w:right="18" w:firstLine="480" w:firstLineChars="200"/>
        <w:rPr>
          <w:rFonts w:ascii="宋体" w:hAnsi="宋体" w:cs="宋体"/>
          <w:sz w:val="24"/>
        </w:rPr>
      </w:pPr>
      <w:r>
        <w:rPr>
          <w:rFonts w:hint="eastAsia" w:ascii="宋体" w:hAnsi="宋体" w:cs="宋体"/>
          <w:sz w:val="24"/>
        </w:rPr>
        <w:t>3.本工程采用综合评分法。价格部分30分，技术部40分，商务部分30分。</w:t>
      </w:r>
    </w:p>
    <w:p>
      <w:pPr>
        <w:spacing w:before="36" w:line="440" w:lineRule="exact"/>
        <w:ind w:right="18" w:firstLine="482" w:firstLineChars="200"/>
        <w:rPr>
          <w:rFonts w:ascii="宋体" w:hAnsi="宋体" w:cs="宋体"/>
          <w:b/>
          <w:bCs/>
          <w:sz w:val="24"/>
        </w:rPr>
      </w:pPr>
      <w:r>
        <w:rPr>
          <w:rFonts w:hint="eastAsia" w:ascii="宋体" w:hAnsi="宋体" w:cs="宋体"/>
          <w:b/>
          <w:bCs/>
          <w:sz w:val="24"/>
        </w:rPr>
        <w:t>二、评分表格</w:t>
      </w:r>
    </w:p>
    <w:bookmarkEnd w:id="0"/>
    <w:tbl>
      <w:tblPr>
        <w:tblStyle w:val="19"/>
        <w:tblW w:w="90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704"/>
        <w:gridCol w:w="655"/>
        <w:gridCol w:w="69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jc w:val="center"/>
        </w:trPr>
        <w:tc>
          <w:tcPr>
            <w:tcW w:w="709" w:type="dxa"/>
            <w:vAlign w:val="center"/>
          </w:tcPr>
          <w:p>
            <w:pPr>
              <w:pStyle w:val="4"/>
              <w:spacing w:before="29" w:line="440" w:lineRule="exact"/>
              <w:ind w:left="0" w:right="18"/>
              <w:jc w:val="center"/>
              <w:rPr>
                <w:b/>
                <w:bCs/>
                <w:sz w:val="22"/>
                <w:szCs w:val="22"/>
                <w:lang w:val="zh-CN"/>
              </w:rPr>
            </w:pPr>
            <w:r>
              <w:rPr>
                <w:rFonts w:hint="eastAsia"/>
                <w:b/>
                <w:bCs/>
                <w:sz w:val="22"/>
                <w:szCs w:val="22"/>
                <w:lang w:val="zh-CN"/>
              </w:rPr>
              <w:t>评分</w:t>
            </w:r>
          </w:p>
          <w:p>
            <w:pPr>
              <w:pStyle w:val="4"/>
              <w:spacing w:before="29" w:line="440" w:lineRule="exact"/>
              <w:ind w:left="0" w:right="18"/>
              <w:jc w:val="center"/>
              <w:rPr>
                <w:b/>
                <w:bCs/>
                <w:sz w:val="22"/>
                <w:szCs w:val="22"/>
                <w:lang w:val="zh-CN"/>
              </w:rPr>
            </w:pPr>
            <w:r>
              <w:rPr>
                <w:rFonts w:hint="eastAsia"/>
                <w:b/>
                <w:bCs/>
                <w:sz w:val="22"/>
                <w:szCs w:val="22"/>
                <w:lang w:val="zh-CN"/>
              </w:rPr>
              <w:t>类别</w:t>
            </w:r>
          </w:p>
        </w:tc>
        <w:tc>
          <w:tcPr>
            <w:tcW w:w="704" w:type="dxa"/>
            <w:vAlign w:val="center"/>
          </w:tcPr>
          <w:p>
            <w:pPr>
              <w:pStyle w:val="4"/>
              <w:spacing w:before="29" w:line="440" w:lineRule="exact"/>
              <w:ind w:left="0" w:right="18"/>
              <w:jc w:val="center"/>
              <w:rPr>
                <w:b/>
                <w:bCs/>
                <w:sz w:val="22"/>
                <w:szCs w:val="22"/>
                <w:lang w:val="zh-CN"/>
              </w:rPr>
            </w:pPr>
            <w:r>
              <w:rPr>
                <w:rFonts w:hint="eastAsia"/>
                <w:b/>
                <w:bCs/>
                <w:sz w:val="22"/>
                <w:szCs w:val="22"/>
                <w:lang w:val="zh-CN"/>
              </w:rPr>
              <w:t>评审</w:t>
            </w:r>
          </w:p>
          <w:p>
            <w:pPr>
              <w:pStyle w:val="4"/>
              <w:spacing w:before="29" w:line="440" w:lineRule="exact"/>
              <w:ind w:left="0" w:right="18"/>
              <w:jc w:val="center"/>
              <w:rPr>
                <w:b/>
                <w:bCs/>
                <w:sz w:val="22"/>
                <w:szCs w:val="22"/>
                <w:lang w:val="zh-CN"/>
              </w:rPr>
            </w:pPr>
            <w:r>
              <w:rPr>
                <w:rFonts w:hint="eastAsia"/>
                <w:b/>
                <w:bCs/>
                <w:sz w:val="22"/>
                <w:szCs w:val="22"/>
                <w:lang w:val="zh-CN"/>
              </w:rPr>
              <w:t>因素</w:t>
            </w:r>
          </w:p>
        </w:tc>
        <w:tc>
          <w:tcPr>
            <w:tcW w:w="655" w:type="dxa"/>
            <w:vAlign w:val="center"/>
          </w:tcPr>
          <w:p>
            <w:pPr>
              <w:pStyle w:val="4"/>
              <w:spacing w:before="29" w:line="440" w:lineRule="exact"/>
              <w:ind w:left="0" w:right="18"/>
              <w:jc w:val="center"/>
              <w:rPr>
                <w:b/>
                <w:bCs/>
                <w:sz w:val="22"/>
                <w:szCs w:val="22"/>
                <w:lang w:val="zh-CN"/>
              </w:rPr>
            </w:pPr>
            <w:r>
              <w:rPr>
                <w:rFonts w:hint="eastAsia"/>
                <w:b/>
                <w:bCs/>
                <w:sz w:val="22"/>
                <w:szCs w:val="22"/>
                <w:lang w:val="zh-CN"/>
              </w:rPr>
              <w:t>分值</w:t>
            </w:r>
          </w:p>
        </w:tc>
        <w:tc>
          <w:tcPr>
            <w:tcW w:w="6999" w:type="dxa"/>
            <w:vAlign w:val="center"/>
          </w:tcPr>
          <w:p>
            <w:pPr>
              <w:pStyle w:val="4"/>
              <w:spacing w:before="29" w:line="440" w:lineRule="exact"/>
              <w:ind w:left="0" w:right="18"/>
              <w:jc w:val="center"/>
              <w:rPr>
                <w:b/>
                <w:bCs/>
                <w:sz w:val="22"/>
                <w:szCs w:val="22"/>
                <w:lang w:val="zh-CN"/>
              </w:rPr>
            </w:pPr>
            <w:r>
              <w:rPr>
                <w:rFonts w:hint="eastAsia"/>
                <w:b/>
                <w:bCs/>
                <w:sz w:val="22"/>
                <w:szCs w:val="22"/>
                <w:lang w:val="zh-CN"/>
              </w:rPr>
              <w:t>具体评审细则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709" w:type="dxa"/>
            <w:vAlign w:val="center"/>
          </w:tcPr>
          <w:p>
            <w:pPr>
              <w:pStyle w:val="4"/>
              <w:spacing w:before="29" w:line="440" w:lineRule="exact"/>
              <w:ind w:left="0" w:right="18"/>
              <w:jc w:val="center"/>
              <w:rPr>
                <w:sz w:val="21"/>
                <w:szCs w:val="21"/>
                <w:lang w:val="zh-CN"/>
              </w:rPr>
            </w:pPr>
            <w:r>
              <w:rPr>
                <w:rFonts w:hint="eastAsia"/>
                <w:sz w:val="21"/>
                <w:szCs w:val="21"/>
                <w:lang w:val="zh-CN"/>
              </w:rPr>
              <w:t>价格</w:t>
            </w:r>
          </w:p>
          <w:p>
            <w:pPr>
              <w:pStyle w:val="4"/>
              <w:spacing w:before="29" w:line="440" w:lineRule="exact"/>
              <w:ind w:left="0" w:right="18"/>
              <w:jc w:val="center"/>
              <w:rPr>
                <w:sz w:val="21"/>
                <w:szCs w:val="21"/>
                <w:lang w:val="zh-CN"/>
              </w:rPr>
            </w:pPr>
            <w:r>
              <w:rPr>
                <w:rFonts w:hint="eastAsia"/>
                <w:sz w:val="21"/>
                <w:szCs w:val="21"/>
                <w:lang w:val="zh-CN"/>
              </w:rPr>
              <w:t>评议</w:t>
            </w:r>
          </w:p>
          <w:p>
            <w:pPr>
              <w:pStyle w:val="4"/>
              <w:spacing w:before="29" w:line="440" w:lineRule="exact"/>
              <w:ind w:left="0" w:right="18"/>
              <w:jc w:val="center"/>
              <w:rPr>
                <w:sz w:val="21"/>
                <w:szCs w:val="21"/>
                <w:lang w:val="zh-CN"/>
              </w:rPr>
            </w:pPr>
            <w:r>
              <w:rPr>
                <w:rFonts w:hint="eastAsia"/>
                <w:sz w:val="21"/>
                <w:szCs w:val="21"/>
                <w:lang w:val="zh-CN"/>
              </w:rPr>
              <w:t>30分</w:t>
            </w:r>
          </w:p>
        </w:tc>
        <w:tc>
          <w:tcPr>
            <w:tcW w:w="704" w:type="dxa"/>
            <w:vAlign w:val="center"/>
          </w:tcPr>
          <w:p>
            <w:pPr>
              <w:spacing w:line="360" w:lineRule="exact"/>
              <w:jc w:val="center"/>
            </w:pPr>
            <w:r>
              <w:rPr>
                <w:rFonts w:hint="eastAsia"/>
              </w:rPr>
              <w:t>评标</w:t>
            </w:r>
            <w:r>
              <w:br w:type="textWrapping"/>
            </w:r>
            <w:r>
              <w:rPr>
                <w:rFonts w:hint="eastAsia"/>
              </w:rPr>
              <w:t>价格</w:t>
            </w:r>
          </w:p>
        </w:tc>
        <w:tc>
          <w:tcPr>
            <w:tcW w:w="655" w:type="dxa"/>
            <w:vAlign w:val="center"/>
          </w:tcPr>
          <w:p>
            <w:pPr>
              <w:spacing w:line="360" w:lineRule="exact"/>
              <w:jc w:val="center"/>
            </w:pPr>
            <w:r>
              <w:rPr>
                <w:rFonts w:hint="eastAsia"/>
              </w:rPr>
              <w:t>30分</w:t>
            </w:r>
          </w:p>
        </w:tc>
        <w:tc>
          <w:tcPr>
            <w:tcW w:w="6999" w:type="dxa"/>
            <w:vAlign w:val="center"/>
          </w:tcPr>
          <w:p>
            <w:pPr>
              <w:spacing w:line="360" w:lineRule="exact"/>
            </w:pPr>
            <w:r>
              <w:rPr>
                <w:rFonts w:hint="eastAsia"/>
              </w:rPr>
              <w:t>1．满足招标文件规定且在招标控制价以内的有效报价得基本分10分</w:t>
            </w:r>
          </w:p>
          <w:p>
            <w:pPr>
              <w:spacing w:line="360" w:lineRule="exact"/>
            </w:pPr>
            <w:r>
              <w:rPr>
                <w:rFonts w:hint="eastAsia"/>
              </w:rPr>
              <w:t>2．竞争分20分按以下标准评审：</w:t>
            </w:r>
          </w:p>
          <w:p>
            <w:pPr>
              <w:spacing w:line="360" w:lineRule="exact"/>
            </w:pPr>
            <w:r>
              <w:rPr>
                <w:rFonts w:hint="eastAsia"/>
              </w:rPr>
              <w:t>F＝20 -（投标人评标价-评标基准价）÷评标基准价× 100×0.8（评标价＞基准价时）</w:t>
            </w:r>
          </w:p>
          <w:p>
            <w:pPr>
              <w:spacing w:line="360" w:lineRule="exact"/>
            </w:pPr>
            <w:r>
              <w:rPr>
                <w:rFonts w:hint="eastAsia"/>
              </w:rPr>
              <w:t>F＝20 -（评标基准价-投标人评标价）÷评标基准价× 100×0.5（评标价≤基准价时）</w:t>
            </w:r>
          </w:p>
          <w:p>
            <w:pPr>
              <w:spacing w:line="360" w:lineRule="exact"/>
            </w:pPr>
            <w:r>
              <w:rPr>
                <w:rFonts w:hint="eastAsia"/>
              </w:rPr>
              <w:t>其中：商务标F≥0。 评标基准价计算方法：以所有有效最终投标报价的算术平均值作为评标基准价，如有效的最终投标报价大于等于5家时，则去掉最高报价和最低报价后的算术平均值作为评标基准价。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709" w:type="dxa"/>
            <w:vMerge w:val="restart"/>
            <w:tcBorders>
              <w:top w:val="nil"/>
            </w:tcBorders>
            <w:vAlign w:val="center"/>
          </w:tcPr>
          <w:p>
            <w:pPr>
              <w:pStyle w:val="4"/>
              <w:spacing w:before="29" w:line="440" w:lineRule="exact"/>
              <w:ind w:left="0" w:right="18"/>
              <w:jc w:val="center"/>
              <w:rPr>
                <w:sz w:val="21"/>
                <w:szCs w:val="21"/>
                <w:lang w:val="zh-CN"/>
              </w:rPr>
            </w:pPr>
            <w:r>
              <w:rPr>
                <w:rFonts w:hint="eastAsia"/>
                <w:sz w:val="21"/>
                <w:szCs w:val="21"/>
                <w:lang w:val="zh-CN"/>
              </w:rPr>
              <w:t>技术</w:t>
            </w:r>
          </w:p>
          <w:p>
            <w:pPr>
              <w:pStyle w:val="4"/>
              <w:spacing w:before="29" w:line="440" w:lineRule="exact"/>
              <w:ind w:left="0" w:right="18"/>
              <w:jc w:val="center"/>
              <w:rPr>
                <w:sz w:val="21"/>
                <w:szCs w:val="21"/>
              </w:rPr>
            </w:pPr>
            <w:r>
              <w:rPr>
                <w:rFonts w:hint="eastAsia"/>
                <w:sz w:val="21"/>
                <w:szCs w:val="21"/>
              </w:rPr>
              <w:t>部分</w:t>
            </w:r>
          </w:p>
          <w:p>
            <w:pPr>
              <w:pStyle w:val="4"/>
              <w:spacing w:before="29" w:line="440" w:lineRule="exact"/>
              <w:ind w:left="0" w:right="18"/>
              <w:jc w:val="center"/>
              <w:rPr>
                <w:sz w:val="21"/>
                <w:szCs w:val="21"/>
                <w:lang w:val="zh-CN"/>
              </w:rPr>
            </w:pPr>
            <w:r>
              <w:rPr>
                <w:rFonts w:hint="eastAsia"/>
                <w:sz w:val="21"/>
                <w:szCs w:val="21"/>
                <w:lang w:val="zh-CN"/>
              </w:rPr>
              <w:t>40分</w:t>
            </w:r>
          </w:p>
        </w:tc>
        <w:tc>
          <w:tcPr>
            <w:tcW w:w="704" w:type="dxa"/>
            <w:vAlign w:val="center"/>
          </w:tcPr>
          <w:p>
            <w:pPr>
              <w:spacing w:line="360" w:lineRule="exact"/>
              <w:jc w:val="center"/>
            </w:pPr>
            <w:r>
              <w:rPr>
                <w:rFonts w:hint="eastAsia"/>
              </w:rPr>
              <w:t>策展</w:t>
            </w:r>
            <w:r>
              <w:br w:type="textWrapping"/>
            </w:r>
            <w:r>
              <w:rPr>
                <w:rFonts w:hint="eastAsia"/>
              </w:rPr>
              <w:t>设计</w:t>
            </w:r>
          </w:p>
        </w:tc>
        <w:tc>
          <w:tcPr>
            <w:tcW w:w="655" w:type="dxa"/>
            <w:vAlign w:val="center"/>
          </w:tcPr>
          <w:p>
            <w:pPr>
              <w:spacing w:line="360" w:lineRule="exact"/>
              <w:jc w:val="center"/>
            </w:pPr>
            <w:r>
              <w:rPr>
                <w:rFonts w:hint="eastAsia"/>
              </w:rPr>
              <w:t>10分</w:t>
            </w:r>
          </w:p>
        </w:tc>
        <w:tc>
          <w:tcPr>
            <w:tcW w:w="6999" w:type="dxa"/>
            <w:vAlign w:val="center"/>
          </w:tcPr>
          <w:p>
            <w:pPr>
              <w:spacing w:line="360" w:lineRule="exact"/>
              <w:rPr>
                <w:lang w:val="zh-CN"/>
              </w:rPr>
            </w:pPr>
            <w:r>
              <w:rPr>
                <w:rFonts w:hint="eastAsia"/>
              </w:rPr>
              <w:t>投标人根据对本项目的理解，提供内容全面、脉络清晰、定位准确、主题明确、布局合理的策展设计，且运用到数字多媒体展示方式，优10-8分，良7-5分，差4-0分。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709" w:type="dxa"/>
            <w:vMerge w:val="continue"/>
            <w:vAlign w:val="center"/>
          </w:tcPr>
          <w:p>
            <w:pPr>
              <w:pStyle w:val="4"/>
              <w:spacing w:before="29" w:line="440" w:lineRule="exact"/>
              <w:ind w:left="0" w:right="18"/>
              <w:jc w:val="center"/>
              <w:rPr>
                <w:sz w:val="21"/>
                <w:szCs w:val="21"/>
                <w:lang w:val="zh-CN"/>
              </w:rPr>
            </w:pPr>
          </w:p>
        </w:tc>
        <w:tc>
          <w:tcPr>
            <w:tcW w:w="704" w:type="dxa"/>
            <w:vAlign w:val="center"/>
          </w:tcPr>
          <w:p>
            <w:pPr>
              <w:spacing w:line="360" w:lineRule="exact"/>
              <w:jc w:val="center"/>
            </w:pPr>
            <w:r>
              <w:rPr>
                <w:rFonts w:hint="eastAsia"/>
              </w:rPr>
              <w:t>布展</w:t>
            </w:r>
            <w:r>
              <w:br w:type="textWrapping"/>
            </w:r>
            <w:r>
              <w:rPr>
                <w:rFonts w:hint="eastAsia"/>
              </w:rPr>
              <w:t>方案</w:t>
            </w:r>
          </w:p>
        </w:tc>
        <w:tc>
          <w:tcPr>
            <w:tcW w:w="655" w:type="dxa"/>
            <w:vAlign w:val="center"/>
          </w:tcPr>
          <w:p>
            <w:pPr>
              <w:spacing w:line="360" w:lineRule="exact"/>
              <w:jc w:val="center"/>
            </w:pPr>
            <w:r>
              <w:rPr>
                <w:rFonts w:hint="eastAsia"/>
              </w:rPr>
              <w:t>10分</w:t>
            </w:r>
          </w:p>
        </w:tc>
        <w:tc>
          <w:tcPr>
            <w:tcW w:w="6999" w:type="dxa"/>
            <w:vAlign w:val="center"/>
          </w:tcPr>
          <w:p>
            <w:pPr>
              <w:spacing w:line="360" w:lineRule="exact"/>
            </w:pPr>
            <w:r>
              <w:rPr>
                <w:rFonts w:hint="eastAsia"/>
              </w:rPr>
              <w:t>投标人基于方案设计，提供合理、先进的实施方案，施工设备及人员配合齐全，施工质量、安全施工、文明施工保证体系完整，优</w:t>
            </w:r>
            <w:r>
              <w:t>10-8</w:t>
            </w:r>
            <w:r>
              <w:rPr>
                <w:rFonts w:hint="eastAsia"/>
              </w:rPr>
              <w:t>分，良</w:t>
            </w:r>
            <w:r>
              <w:t>7-5</w:t>
            </w:r>
            <w:r>
              <w:rPr>
                <w:rFonts w:hint="eastAsia"/>
              </w:rPr>
              <w:t>分，差</w:t>
            </w:r>
            <w:r>
              <w:t>4-0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709" w:type="dxa"/>
            <w:vMerge w:val="continue"/>
            <w:vAlign w:val="center"/>
          </w:tcPr>
          <w:p>
            <w:pPr>
              <w:pStyle w:val="4"/>
              <w:spacing w:before="29" w:line="440" w:lineRule="exact"/>
              <w:ind w:left="0" w:right="18"/>
              <w:jc w:val="center"/>
              <w:rPr>
                <w:sz w:val="21"/>
                <w:szCs w:val="21"/>
                <w:lang w:val="zh-CN"/>
              </w:rPr>
            </w:pPr>
          </w:p>
        </w:tc>
        <w:tc>
          <w:tcPr>
            <w:tcW w:w="704" w:type="dxa"/>
            <w:vAlign w:val="center"/>
          </w:tcPr>
          <w:p>
            <w:pPr>
              <w:spacing w:line="360" w:lineRule="exact"/>
              <w:jc w:val="center"/>
            </w:pPr>
            <w:r>
              <w:rPr>
                <w:rFonts w:hint="eastAsia"/>
              </w:rPr>
              <w:t>布展</w:t>
            </w:r>
            <w:r>
              <w:br w:type="textWrapping"/>
            </w:r>
            <w:r>
              <w:rPr>
                <w:rFonts w:hint="eastAsia"/>
              </w:rPr>
              <w:t>进度</w:t>
            </w:r>
          </w:p>
        </w:tc>
        <w:tc>
          <w:tcPr>
            <w:tcW w:w="655" w:type="dxa"/>
            <w:vAlign w:val="center"/>
          </w:tcPr>
          <w:p>
            <w:pPr>
              <w:spacing w:line="360" w:lineRule="exact"/>
              <w:jc w:val="center"/>
            </w:pPr>
            <w:r>
              <w:rPr>
                <w:rFonts w:hint="eastAsia"/>
              </w:rPr>
              <w:t>5分</w:t>
            </w:r>
          </w:p>
        </w:tc>
        <w:tc>
          <w:tcPr>
            <w:tcW w:w="6999" w:type="dxa"/>
            <w:vAlign w:val="center"/>
          </w:tcPr>
          <w:p>
            <w:pPr>
              <w:spacing w:line="360" w:lineRule="exact"/>
              <w:rPr>
                <w:lang w:val="zh-CN"/>
              </w:rPr>
            </w:pPr>
            <w:r>
              <w:rPr>
                <w:rFonts w:hint="eastAsia"/>
              </w:rPr>
              <w:t>技术设备先进，检测、评估方法合理。方法合理性横向比较得分0-5分，未提供或提供无效的不得分。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709" w:type="dxa"/>
            <w:vMerge w:val="continue"/>
            <w:vAlign w:val="center"/>
          </w:tcPr>
          <w:p>
            <w:pPr>
              <w:pStyle w:val="4"/>
              <w:spacing w:before="29" w:line="440" w:lineRule="exact"/>
              <w:ind w:left="0" w:right="18"/>
              <w:jc w:val="center"/>
              <w:rPr>
                <w:sz w:val="21"/>
                <w:szCs w:val="21"/>
                <w:lang w:val="zh-CN"/>
              </w:rPr>
            </w:pPr>
          </w:p>
        </w:tc>
        <w:tc>
          <w:tcPr>
            <w:tcW w:w="704" w:type="dxa"/>
            <w:vAlign w:val="center"/>
          </w:tcPr>
          <w:p>
            <w:pPr>
              <w:spacing w:line="360" w:lineRule="exact"/>
              <w:jc w:val="center"/>
            </w:pPr>
            <w:r>
              <w:rPr>
                <w:rFonts w:hint="eastAsia"/>
              </w:rPr>
              <w:t>质量保证措施</w:t>
            </w:r>
          </w:p>
        </w:tc>
        <w:tc>
          <w:tcPr>
            <w:tcW w:w="655" w:type="dxa"/>
            <w:vAlign w:val="center"/>
          </w:tcPr>
          <w:p>
            <w:pPr>
              <w:spacing w:line="360" w:lineRule="exact"/>
              <w:jc w:val="center"/>
            </w:pPr>
            <w:r>
              <w:rPr>
                <w:rFonts w:hint="eastAsia"/>
              </w:rPr>
              <w:t>5分</w:t>
            </w:r>
          </w:p>
        </w:tc>
        <w:tc>
          <w:tcPr>
            <w:tcW w:w="6999" w:type="dxa"/>
            <w:vAlign w:val="center"/>
          </w:tcPr>
          <w:p>
            <w:pPr>
              <w:spacing w:line="360" w:lineRule="exact"/>
            </w:pPr>
            <w:r>
              <w:rPr>
                <w:rFonts w:hint="eastAsia"/>
              </w:rPr>
              <w:t>质量保证措施科学合理，有质量目标承诺，且处罚措施合理，专家结合项目评价0-5分。没有提供不得分。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709" w:type="dxa"/>
            <w:vMerge w:val="continue"/>
            <w:vAlign w:val="center"/>
          </w:tcPr>
          <w:p>
            <w:pPr>
              <w:pStyle w:val="4"/>
              <w:spacing w:before="29" w:line="440" w:lineRule="exact"/>
              <w:ind w:left="0" w:right="18"/>
              <w:jc w:val="center"/>
              <w:rPr>
                <w:sz w:val="21"/>
                <w:szCs w:val="21"/>
              </w:rPr>
            </w:pPr>
          </w:p>
        </w:tc>
        <w:tc>
          <w:tcPr>
            <w:tcW w:w="704" w:type="dxa"/>
            <w:vMerge w:val="restart"/>
            <w:vAlign w:val="center"/>
          </w:tcPr>
          <w:p>
            <w:pPr>
              <w:spacing w:line="360" w:lineRule="exact"/>
              <w:jc w:val="center"/>
            </w:pPr>
          </w:p>
          <w:p>
            <w:pPr>
              <w:spacing w:line="360" w:lineRule="exact"/>
              <w:jc w:val="center"/>
            </w:pPr>
            <w:r>
              <w:rPr>
                <w:rFonts w:hint="eastAsia"/>
              </w:rPr>
              <w:t>生产安装方案</w:t>
            </w:r>
          </w:p>
        </w:tc>
        <w:tc>
          <w:tcPr>
            <w:tcW w:w="655" w:type="dxa"/>
            <w:vAlign w:val="center"/>
          </w:tcPr>
          <w:p>
            <w:pPr>
              <w:spacing w:line="360" w:lineRule="exact"/>
              <w:jc w:val="center"/>
            </w:pPr>
            <w:r>
              <w:rPr>
                <w:rFonts w:hint="eastAsia"/>
              </w:rPr>
              <w:t>5分</w:t>
            </w:r>
          </w:p>
        </w:tc>
        <w:tc>
          <w:tcPr>
            <w:tcW w:w="6999" w:type="dxa"/>
            <w:vAlign w:val="center"/>
          </w:tcPr>
          <w:p>
            <w:pPr>
              <w:spacing w:line="360" w:lineRule="exact"/>
            </w:pPr>
            <w:r>
              <w:rPr>
                <w:rFonts w:hint="eastAsia"/>
              </w:rPr>
              <w:t>生产计划保证措施；对备货、产品包装、供货进度等保证措施；方案合理可行、措施得力评“优秀”的得</w:t>
            </w:r>
            <w:r>
              <w:t>5-3</w:t>
            </w:r>
            <w:r>
              <w:rPr>
                <w:rFonts w:hint="eastAsia"/>
              </w:rPr>
              <w:t>分；“良好”的得</w:t>
            </w:r>
            <w:r>
              <w:t>3-1</w:t>
            </w:r>
            <w:r>
              <w:rPr>
                <w:rFonts w:hint="eastAsia"/>
              </w:rPr>
              <w:t>分；“一般”的得</w:t>
            </w:r>
            <w:r>
              <w:t>1-0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709" w:type="dxa"/>
            <w:vMerge w:val="continue"/>
            <w:vAlign w:val="center"/>
          </w:tcPr>
          <w:p>
            <w:pPr>
              <w:pStyle w:val="4"/>
              <w:spacing w:before="29" w:line="440" w:lineRule="exact"/>
              <w:ind w:left="0" w:right="18"/>
              <w:jc w:val="center"/>
              <w:rPr>
                <w:sz w:val="21"/>
                <w:szCs w:val="21"/>
              </w:rPr>
            </w:pPr>
          </w:p>
        </w:tc>
        <w:tc>
          <w:tcPr>
            <w:tcW w:w="704" w:type="dxa"/>
            <w:vMerge w:val="continue"/>
            <w:vAlign w:val="center"/>
          </w:tcPr>
          <w:p>
            <w:pPr>
              <w:spacing w:line="360" w:lineRule="exact"/>
              <w:jc w:val="center"/>
            </w:pPr>
          </w:p>
        </w:tc>
        <w:tc>
          <w:tcPr>
            <w:tcW w:w="655" w:type="dxa"/>
            <w:vAlign w:val="center"/>
          </w:tcPr>
          <w:p>
            <w:pPr>
              <w:spacing w:line="360" w:lineRule="exact"/>
              <w:jc w:val="center"/>
            </w:pPr>
            <w:r>
              <w:rPr>
                <w:rFonts w:hint="eastAsia"/>
              </w:rPr>
              <w:t>5分</w:t>
            </w:r>
          </w:p>
        </w:tc>
        <w:tc>
          <w:tcPr>
            <w:tcW w:w="6999" w:type="dxa"/>
            <w:vAlign w:val="center"/>
          </w:tcPr>
          <w:p>
            <w:pPr>
              <w:spacing w:line="360" w:lineRule="exact"/>
            </w:pPr>
            <w:r>
              <w:rPr>
                <w:rFonts w:hint="eastAsia"/>
              </w:rPr>
              <w:t>对产品安装、调试等方面保证措施；方案合理可行、措施得力评“优秀”的得</w:t>
            </w:r>
            <w:r>
              <w:t>5-3</w:t>
            </w:r>
            <w:r>
              <w:rPr>
                <w:rFonts w:hint="eastAsia"/>
              </w:rPr>
              <w:t>分；“良好”的得</w:t>
            </w:r>
            <w:r>
              <w:t>3-1</w:t>
            </w:r>
            <w:r>
              <w:rPr>
                <w:rFonts w:hint="eastAsia"/>
              </w:rPr>
              <w:t>分；“一般”的得</w:t>
            </w:r>
            <w:r>
              <w:t>1-0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 w:hRule="atLeast"/>
          <w:jc w:val="center"/>
        </w:trPr>
        <w:tc>
          <w:tcPr>
            <w:tcW w:w="709" w:type="dxa"/>
            <w:vMerge w:val="restart"/>
            <w:vAlign w:val="center"/>
          </w:tcPr>
          <w:p>
            <w:pPr>
              <w:pStyle w:val="4"/>
              <w:spacing w:before="29" w:line="440" w:lineRule="exact"/>
              <w:ind w:left="0" w:right="18"/>
              <w:jc w:val="center"/>
              <w:rPr>
                <w:sz w:val="21"/>
                <w:szCs w:val="21"/>
              </w:rPr>
            </w:pPr>
            <w:r>
              <w:rPr>
                <w:rFonts w:hint="eastAsia"/>
                <w:sz w:val="21"/>
                <w:szCs w:val="21"/>
              </w:rPr>
              <w:t>商务</w:t>
            </w:r>
          </w:p>
          <w:p>
            <w:pPr>
              <w:pStyle w:val="4"/>
              <w:spacing w:before="29" w:line="440" w:lineRule="exact"/>
              <w:ind w:left="0" w:right="18"/>
              <w:jc w:val="center"/>
              <w:rPr>
                <w:sz w:val="21"/>
                <w:szCs w:val="21"/>
              </w:rPr>
            </w:pPr>
            <w:r>
              <w:rPr>
                <w:rFonts w:hint="eastAsia"/>
                <w:sz w:val="21"/>
                <w:szCs w:val="21"/>
              </w:rPr>
              <w:t>部分</w:t>
            </w:r>
          </w:p>
          <w:p>
            <w:pPr>
              <w:pStyle w:val="4"/>
              <w:spacing w:before="29" w:line="440" w:lineRule="exact"/>
              <w:ind w:left="0" w:right="18"/>
              <w:jc w:val="center"/>
              <w:rPr>
                <w:sz w:val="21"/>
                <w:szCs w:val="21"/>
                <w:lang w:val="zh-CN"/>
              </w:rPr>
            </w:pPr>
            <w:r>
              <w:rPr>
                <w:rFonts w:hint="eastAsia"/>
                <w:sz w:val="21"/>
                <w:szCs w:val="21"/>
              </w:rPr>
              <w:t>30</w:t>
            </w:r>
            <w:r>
              <w:rPr>
                <w:rFonts w:hint="eastAsia"/>
                <w:sz w:val="21"/>
                <w:szCs w:val="21"/>
                <w:lang w:val="zh-CN"/>
              </w:rPr>
              <w:t>分</w:t>
            </w:r>
          </w:p>
        </w:tc>
        <w:tc>
          <w:tcPr>
            <w:tcW w:w="704" w:type="dxa"/>
            <w:vAlign w:val="center"/>
          </w:tcPr>
          <w:p>
            <w:pPr>
              <w:spacing w:line="360" w:lineRule="exact"/>
              <w:jc w:val="center"/>
            </w:pPr>
            <w:r>
              <w:rPr>
                <w:rFonts w:hint="eastAsia"/>
              </w:rPr>
              <w:t>企业</w:t>
            </w:r>
          </w:p>
          <w:p>
            <w:pPr>
              <w:spacing w:line="360" w:lineRule="exact"/>
              <w:jc w:val="center"/>
            </w:pPr>
            <w:r>
              <w:rPr>
                <w:rFonts w:hint="eastAsia"/>
              </w:rPr>
              <w:t>业绩</w:t>
            </w:r>
          </w:p>
        </w:tc>
        <w:tc>
          <w:tcPr>
            <w:tcW w:w="655" w:type="dxa"/>
            <w:vAlign w:val="center"/>
          </w:tcPr>
          <w:p>
            <w:pPr>
              <w:spacing w:line="360" w:lineRule="exact"/>
              <w:jc w:val="center"/>
            </w:pPr>
            <w:r>
              <w:rPr>
                <w:rFonts w:hint="eastAsia"/>
              </w:rPr>
              <w:t>15分</w:t>
            </w:r>
          </w:p>
        </w:tc>
        <w:tc>
          <w:tcPr>
            <w:tcW w:w="6999" w:type="dxa"/>
            <w:tcBorders>
              <w:bottom w:val="single" w:color="000000" w:sz="6" w:space="0"/>
            </w:tcBorders>
            <w:vAlign w:val="center"/>
          </w:tcPr>
          <w:p>
            <w:pPr>
              <w:spacing w:line="360" w:lineRule="exact"/>
            </w:pPr>
            <w:r>
              <w:rPr>
                <w:rFonts w:hint="eastAsia"/>
              </w:rPr>
              <w:t>近五年（指2019年7月1日至今）有合同金额在100 万元以上广告或策展类业绩的，每一项得5分，最多得15分。</w:t>
            </w:r>
          </w:p>
          <w:p>
            <w:pPr>
              <w:spacing w:line="360" w:lineRule="exact"/>
              <w:rPr>
                <w:szCs w:val="21"/>
              </w:rPr>
            </w:pPr>
            <w:r>
              <w:rPr>
                <w:rFonts w:hint="eastAsia"/>
              </w:rPr>
              <w:t>注：提供合同或中标通知书复印件加盖公章，未提供证明材料不得分。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 w:hRule="atLeast"/>
          <w:jc w:val="center"/>
        </w:trPr>
        <w:tc>
          <w:tcPr>
            <w:tcW w:w="709" w:type="dxa"/>
            <w:vMerge w:val="continue"/>
            <w:vAlign w:val="center"/>
          </w:tcPr>
          <w:p>
            <w:pPr>
              <w:pStyle w:val="4"/>
              <w:spacing w:before="29" w:line="440" w:lineRule="exact"/>
              <w:ind w:left="0" w:right="18"/>
              <w:jc w:val="center"/>
              <w:rPr>
                <w:sz w:val="21"/>
                <w:szCs w:val="21"/>
              </w:rPr>
            </w:pPr>
          </w:p>
        </w:tc>
        <w:tc>
          <w:tcPr>
            <w:tcW w:w="704" w:type="dxa"/>
            <w:vMerge w:val="restart"/>
            <w:vAlign w:val="center"/>
          </w:tcPr>
          <w:p>
            <w:pPr>
              <w:spacing w:line="360" w:lineRule="exact"/>
              <w:jc w:val="center"/>
            </w:pPr>
            <w:r>
              <w:rPr>
                <w:rFonts w:hint="eastAsia"/>
              </w:rPr>
              <w:t>服务及</w:t>
            </w:r>
          </w:p>
          <w:p>
            <w:pPr>
              <w:spacing w:line="360" w:lineRule="exact"/>
              <w:jc w:val="center"/>
            </w:pPr>
            <w:r>
              <w:rPr>
                <w:rFonts w:hint="eastAsia"/>
              </w:rPr>
              <w:t>人员</w:t>
            </w:r>
            <w:r>
              <w:br w:type="textWrapping"/>
            </w:r>
            <w:r>
              <w:rPr>
                <w:rFonts w:hint="eastAsia"/>
              </w:rPr>
              <w:t>配置</w:t>
            </w:r>
          </w:p>
        </w:tc>
        <w:tc>
          <w:tcPr>
            <w:tcW w:w="655" w:type="dxa"/>
            <w:vAlign w:val="center"/>
          </w:tcPr>
          <w:p>
            <w:pPr>
              <w:spacing w:line="360" w:lineRule="exact"/>
              <w:jc w:val="center"/>
            </w:pPr>
            <w:r>
              <w:rPr>
                <w:rFonts w:hint="eastAsia" w:ascii="宋体" w:hAnsi="宋体"/>
              </w:rPr>
              <w:t>5分</w:t>
            </w:r>
          </w:p>
        </w:tc>
        <w:tc>
          <w:tcPr>
            <w:tcW w:w="6999" w:type="dxa"/>
            <w:tcBorders>
              <w:bottom w:val="single" w:color="000000" w:sz="6" w:space="0"/>
            </w:tcBorders>
            <w:vAlign w:val="center"/>
          </w:tcPr>
          <w:p>
            <w:pPr>
              <w:spacing w:line="360" w:lineRule="exact"/>
            </w:pPr>
            <w:r>
              <w:rPr>
                <w:rFonts w:hint="eastAsia" w:ascii="宋体" w:hAnsi="宋体"/>
              </w:rPr>
              <w:t>投标人承诺故障响应时间：在服务期内经常回访，有问题做到及时处理。出现质量问题或故障时，响应时间≤2小时，24小时内到达现场，到达现场后6个工时处理完毕，无法修复的，需提供原款产品进行更换。</w:t>
            </w:r>
            <w:r>
              <w:rPr>
                <w:rFonts w:ascii="宋体" w:hAnsi="宋体"/>
              </w:rPr>
              <w:br w:type="textWrapping"/>
            </w:r>
            <w:r>
              <w:rPr>
                <w:rFonts w:hint="eastAsia"/>
              </w:rPr>
              <w:t>注：未提供承诺的不得分。(0-5分)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 w:hRule="atLeast"/>
          <w:jc w:val="center"/>
        </w:trPr>
        <w:tc>
          <w:tcPr>
            <w:tcW w:w="709" w:type="dxa"/>
            <w:vMerge w:val="continue"/>
            <w:vAlign w:val="center"/>
          </w:tcPr>
          <w:p>
            <w:pPr>
              <w:pStyle w:val="4"/>
              <w:spacing w:before="29" w:line="440" w:lineRule="exact"/>
              <w:ind w:left="0" w:right="18"/>
              <w:jc w:val="center"/>
              <w:rPr>
                <w:sz w:val="21"/>
                <w:szCs w:val="21"/>
              </w:rPr>
            </w:pPr>
          </w:p>
        </w:tc>
        <w:tc>
          <w:tcPr>
            <w:tcW w:w="704" w:type="dxa"/>
            <w:vMerge w:val="continue"/>
            <w:vAlign w:val="center"/>
          </w:tcPr>
          <w:p>
            <w:pPr>
              <w:spacing w:line="360" w:lineRule="exact"/>
              <w:jc w:val="center"/>
            </w:pPr>
          </w:p>
        </w:tc>
        <w:tc>
          <w:tcPr>
            <w:tcW w:w="655" w:type="dxa"/>
            <w:vAlign w:val="center"/>
          </w:tcPr>
          <w:p>
            <w:pPr>
              <w:spacing w:line="360" w:lineRule="exact"/>
              <w:jc w:val="center"/>
            </w:pPr>
            <w:r>
              <w:rPr>
                <w:rFonts w:hint="eastAsia"/>
              </w:rPr>
              <w:t>5分</w:t>
            </w:r>
          </w:p>
        </w:tc>
        <w:tc>
          <w:tcPr>
            <w:tcW w:w="6999" w:type="dxa"/>
            <w:tcBorders>
              <w:bottom w:val="single" w:color="000000" w:sz="6" w:space="0"/>
            </w:tcBorders>
            <w:vAlign w:val="center"/>
          </w:tcPr>
          <w:p>
            <w:pPr>
              <w:spacing w:line="360" w:lineRule="exact"/>
            </w:pPr>
            <w:r>
              <w:rPr>
                <w:rFonts w:hint="eastAsia"/>
              </w:rPr>
              <w:t>解决问题的能力、紧急故障处理预案，维修处理方案、响应速度等，整体符合用户实际需要。人员经验丰富、方案详细合理，反应速度快、针对性强的。</w:t>
            </w:r>
            <w:r>
              <w:br w:type="textWrapping"/>
            </w:r>
            <w:r>
              <w:rPr>
                <w:rFonts w:hint="eastAsia"/>
              </w:rPr>
              <w:t>(0-5分)</w:t>
            </w:r>
            <w:r>
              <w:rPr>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709" w:type="dxa"/>
            <w:vMerge w:val="continue"/>
            <w:vAlign w:val="center"/>
          </w:tcPr>
          <w:p>
            <w:pPr>
              <w:pStyle w:val="4"/>
              <w:spacing w:before="29" w:line="440" w:lineRule="exact"/>
              <w:ind w:left="0" w:right="18"/>
              <w:rPr>
                <w:sz w:val="21"/>
                <w:szCs w:val="21"/>
                <w:lang w:val="zh-CN"/>
              </w:rPr>
            </w:pPr>
          </w:p>
        </w:tc>
        <w:tc>
          <w:tcPr>
            <w:tcW w:w="704" w:type="dxa"/>
            <w:vMerge w:val="continue"/>
            <w:vAlign w:val="center"/>
          </w:tcPr>
          <w:p>
            <w:pPr>
              <w:spacing w:line="360" w:lineRule="exact"/>
              <w:jc w:val="center"/>
            </w:pPr>
          </w:p>
        </w:tc>
        <w:tc>
          <w:tcPr>
            <w:tcW w:w="655" w:type="dxa"/>
            <w:vAlign w:val="center"/>
          </w:tcPr>
          <w:p>
            <w:pPr>
              <w:spacing w:line="360" w:lineRule="exact"/>
              <w:jc w:val="center"/>
            </w:pPr>
            <w:r>
              <w:rPr>
                <w:rFonts w:hint="eastAsia"/>
              </w:rPr>
              <w:t>5分</w:t>
            </w:r>
          </w:p>
        </w:tc>
        <w:tc>
          <w:tcPr>
            <w:tcW w:w="6999" w:type="dxa"/>
            <w:vAlign w:val="center"/>
          </w:tcPr>
          <w:p>
            <w:pPr>
              <w:spacing w:line="360" w:lineRule="exact"/>
            </w:pPr>
            <w:r>
              <w:rPr>
                <w:rFonts w:hint="eastAsia"/>
              </w:rPr>
              <w:t>提供服务人员的配备与备品备件的详细方案，人员配备基本明确、方案基本可行。(0-5分)</w:t>
            </w:r>
          </w:p>
        </w:tc>
      </w:tr>
    </w:tbl>
    <w:p>
      <w:pPr>
        <w:spacing w:before="36" w:line="440" w:lineRule="exact"/>
        <w:ind w:right="18"/>
        <w:rPr>
          <w:rFonts w:ascii="宋体" w:hAnsi="宋体" w:cs="宋体"/>
          <w:sz w:val="24"/>
        </w:rPr>
      </w:pPr>
      <w:r>
        <w:rPr>
          <w:rFonts w:hint="eastAsia" w:ascii="宋体" w:hAnsi="宋体" w:cs="宋体"/>
          <w:sz w:val="24"/>
        </w:rPr>
        <w:t>备注：以上所有须提供的有关资料等投标人都须提供原始资料的真彩扫描打印件供专家评委评审，否则不得分。投标人投标时须认真对待、如实应标。</w:t>
      </w:r>
    </w:p>
    <w:p>
      <w:pPr>
        <w:spacing w:before="36" w:line="440" w:lineRule="exact"/>
        <w:ind w:right="18" w:firstLine="482" w:firstLineChars="200"/>
        <w:rPr>
          <w:rFonts w:ascii="宋体" w:hAnsi="宋体" w:cs="宋体"/>
          <w:b/>
          <w:bCs/>
          <w:sz w:val="24"/>
        </w:rPr>
      </w:pPr>
      <w:r>
        <w:rPr>
          <w:rFonts w:hint="eastAsia" w:ascii="宋体" w:hAnsi="宋体" w:cs="宋体"/>
          <w:b/>
          <w:bCs/>
          <w:sz w:val="24"/>
        </w:rPr>
        <w:t>三、评分及推荐中标候选人</w:t>
      </w:r>
    </w:p>
    <w:p>
      <w:pPr>
        <w:spacing w:before="36" w:line="440" w:lineRule="exact"/>
        <w:ind w:right="18" w:firstLine="480" w:firstLineChars="200"/>
        <w:rPr>
          <w:rFonts w:ascii="宋体" w:hAnsi="宋体" w:cs="宋体"/>
          <w:sz w:val="24"/>
        </w:rPr>
      </w:pPr>
      <w:r>
        <w:rPr>
          <w:rFonts w:hint="eastAsia" w:ascii="宋体" w:hAnsi="宋体" w:cs="宋体"/>
          <w:sz w:val="24"/>
        </w:rPr>
        <w:t>1.评委按照招标文件要求和本评分办法的有关规定，给投标人分别打分，并按下列公式确定各投标人的评定分数：评定分数=报价部分+技术部分+商务部分。</w:t>
      </w:r>
    </w:p>
    <w:p>
      <w:pPr>
        <w:spacing w:before="36" w:line="440" w:lineRule="exact"/>
        <w:ind w:right="18" w:firstLine="480" w:firstLineChars="200"/>
        <w:rPr>
          <w:rFonts w:ascii="宋体" w:hAnsi="宋体" w:cs="宋体"/>
          <w:sz w:val="24"/>
        </w:rPr>
      </w:pPr>
      <w:r>
        <w:rPr>
          <w:rFonts w:hint="eastAsia" w:ascii="宋体" w:hAnsi="宋体" w:cs="宋体"/>
          <w:sz w:val="24"/>
        </w:rPr>
        <w:t>2.投标人的最终得分为各评委所评定分数的算术平均值。</w:t>
      </w:r>
    </w:p>
    <w:p>
      <w:pPr>
        <w:spacing w:before="36" w:line="440" w:lineRule="exact"/>
        <w:ind w:right="18" w:firstLine="480" w:firstLineChars="200"/>
        <w:rPr>
          <w:rFonts w:ascii="宋体" w:hAnsi="宋体" w:cs="宋体"/>
          <w:sz w:val="24"/>
        </w:rPr>
      </w:pPr>
      <w:r>
        <w:rPr>
          <w:rFonts w:hint="eastAsia" w:ascii="宋体" w:hAnsi="宋体" w:cs="宋体"/>
          <w:sz w:val="24"/>
        </w:rPr>
        <w:t>3.各项统计、评分结果均按四舍五入方法精确到小数点后二位。</w:t>
      </w:r>
    </w:p>
    <w:p>
      <w:pPr>
        <w:spacing w:before="36" w:line="440" w:lineRule="exact"/>
        <w:ind w:right="18" w:firstLine="480" w:firstLineChars="200"/>
        <w:rPr>
          <w:rFonts w:ascii="宋体" w:hAnsi="宋体" w:cs="宋体"/>
          <w:sz w:val="24"/>
        </w:rPr>
      </w:pPr>
      <w:r>
        <w:rPr>
          <w:rFonts w:hint="eastAsia" w:ascii="宋体" w:hAnsi="宋体" w:cs="宋体"/>
          <w:sz w:val="24"/>
        </w:rPr>
        <w:t>4.评标小组按本办法打分，得分最高者为中标单位。 若出现二家（或以上）投标人并列最高分，则以报价低者为中标人，如再出现最高得分和报价并列的情况，则由评委以无记名投票方式选定，得票多者为候选中标单位。</w:t>
      </w:r>
    </w:p>
    <w:p>
      <w:pPr>
        <w:widowControl/>
        <w:jc w:val="left"/>
        <w:rPr>
          <w:rFonts w:ascii="宋体" w:hAnsi="宋体" w:cs="宋体"/>
          <w:sz w:val="24"/>
        </w:rPr>
      </w:pPr>
      <w:bookmarkStart w:id="1" w:name="_GoBack"/>
      <w:bookmarkEnd w:id="1"/>
      <w:r>
        <w:rPr>
          <w:rFonts w:ascii="宋体" w:hAnsi="宋体" w:cs="宋体"/>
          <w:sz w:val="24"/>
        </w:rPr>
        <w:br w:type="page"/>
      </w:r>
    </w:p>
    <w:p>
      <w:pPr>
        <w:spacing w:line="480" w:lineRule="exact"/>
        <w:jc w:val="left"/>
        <w:rPr>
          <w:rFonts w:ascii="宋体" w:hAnsi="宋体" w:cs="宋体"/>
          <w:color w:val="FF0000"/>
          <w:sz w:val="32"/>
          <w:szCs w:val="32"/>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DB6FD0"/>
    <w:multiLevelType w:val="multilevel"/>
    <w:tmpl w:val="64DB6FD0"/>
    <w:lvl w:ilvl="0" w:tentative="0">
      <w:start w:val="1"/>
      <w:numFmt w:val="decimal"/>
      <w:lvlText w:val="%1."/>
      <w:lvlJc w:val="left"/>
      <w:rPr>
        <w:rFonts w:hint="default" w:ascii="Times New Roman" w:hAnsi="Times New Roman" w:eastAsia="宋体" w:cs="Times New Roman"/>
        <w:b/>
        <w:bCs w:val="0"/>
        <w:i w:val="0"/>
        <w:iCs w:val="0"/>
        <w:caps w:val="0"/>
        <w:smallCaps w:val="0"/>
        <w:strike w:val="0"/>
        <w:dstrike w:val="0"/>
        <w:vanish w:val="0"/>
        <w:color w:val="auto"/>
        <w:spacing w:val="0"/>
        <w:position w:val="0"/>
        <w:sz w:val="32"/>
        <w:szCs w:val="24"/>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284"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pStyle w:val="17"/>
      <w:suff w:val="nothing"/>
      <w:lvlText w:val="（%5）"/>
      <w:lvlJc w:val="left"/>
      <w:pPr>
        <w:ind w:left="425" w:firstLine="0"/>
      </w:pPr>
      <w:rPr>
        <w:rFonts w:hint="default" w:ascii="Times New Roman" w:hAnsi="Times New Roman" w:eastAsia="宋体"/>
        <w:lang w:val="en-US"/>
      </w:rPr>
    </w:lvl>
    <w:lvl w:ilvl="5" w:tentative="0">
      <w:start w:val="1"/>
      <w:numFmt w:val="decimal"/>
      <w:suff w:val="nothing"/>
      <w:lvlText w:val="%6）"/>
      <w:lvlJc w:val="left"/>
      <w:pPr>
        <w:ind w:left="0" w:firstLine="0"/>
      </w:pPr>
      <w:rPr>
        <w:rFonts w:hint="default" w:ascii="Times New Roman" w:hAnsi="Times New Roman" w:eastAsia="宋体"/>
        <w:b w:val="0"/>
        <w:i w:val="0"/>
        <w:sz w:val="24"/>
      </w:rPr>
    </w:lvl>
    <w:lvl w:ilvl="6" w:tentative="0">
      <w:start w:val="1"/>
      <w:numFmt w:val="lowerLetter"/>
      <w:suff w:val="nothing"/>
      <w:lvlText w:val="%7."/>
      <w:lvlJc w:val="left"/>
      <w:pPr>
        <w:ind w:left="0" w:firstLine="0"/>
      </w:pPr>
      <w:rPr>
        <w:rFonts w:hint="default" w:ascii="Times New Roman" w:hAnsi="Times New Roman" w:eastAsia="宋体"/>
        <w:b w:val="0"/>
        <w:i w:val="0"/>
        <w:sz w:val="24"/>
      </w:rPr>
    </w:lvl>
    <w:lvl w:ilvl="7" w:tentative="0">
      <w:start w:val="1"/>
      <w:numFmt w:val="lowerLetter"/>
      <w:suff w:val="nothing"/>
      <w:lvlText w:val="%8）"/>
      <w:lvlJc w:val="left"/>
      <w:pPr>
        <w:ind w:left="0" w:firstLine="0"/>
      </w:pPr>
      <w:rPr>
        <w:rFonts w:hint="default" w:ascii="Times New Roman" w:hAnsi="Times New Roman" w:eastAsia="宋体"/>
        <w:b w:val="0"/>
        <w:i w:val="0"/>
        <w:sz w:val="24"/>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JlMGEyZmZhMGM1ZTQwYjEwMTc1YWJiYmVmMmQyZWIifQ=="/>
  </w:docVars>
  <w:rsids>
    <w:rsidRoot w:val="00B55A47"/>
    <w:rsid w:val="00073CD5"/>
    <w:rsid w:val="00076B57"/>
    <w:rsid w:val="0009428C"/>
    <w:rsid w:val="00094E35"/>
    <w:rsid w:val="000A7D7E"/>
    <w:rsid w:val="000B4DED"/>
    <w:rsid w:val="000B6855"/>
    <w:rsid w:val="000D1620"/>
    <w:rsid w:val="000E2285"/>
    <w:rsid w:val="000F37F9"/>
    <w:rsid w:val="00100AE0"/>
    <w:rsid w:val="00115FC9"/>
    <w:rsid w:val="0013620D"/>
    <w:rsid w:val="0016556E"/>
    <w:rsid w:val="001730FF"/>
    <w:rsid w:val="001C6872"/>
    <w:rsid w:val="001D5899"/>
    <w:rsid w:val="001F7EE1"/>
    <w:rsid w:val="00207B26"/>
    <w:rsid w:val="00234225"/>
    <w:rsid w:val="00255849"/>
    <w:rsid w:val="00273108"/>
    <w:rsid w:val="0028254A"/>
    <w:rsid w:val="0029090C"/>
    <w:rsid w:val="00295441"/>
    <w:rsid w:val="002A360B"/>
    <w:rsid w:val="002A386C"/>
    <w:rsid w:val="002B0416"/>
    <w:rsid w:val="002C359A"/>
    <w:rsid w:val="002E31EE"/>
    <w:rsid w:val="00302073"/>
    <w:rsid w:val="003027D7"/>
    <w:rsid w:val="003067AA"/>
    <w:rsid w:val="003528BA"/>
    <w:rsid w:val="00363CCD"/>
    <w:rsid w:val="0038015C"/>
    <w:rsid w:val="003901ED"/>
    <w:rsid w:val="00393A81"/>
    <w:rsid w:val="003A378E"/>
    <w:rsid w:val="003B067B"/>
    <w:rsid w:val="00430B8B"/>
    <w:rsid w:val="00431055"/>
    <w:rsid w:val="004371CA"/>
    <w:rsid w:val="00441EB9"/>
    <w:rsid w:val="00443E86"/>
    <w:rsid w:val="00482004"/>
    <w:rsid w:val="0049318F"/>
    <w:rsid w:val="004C79B9"/>
    <w:rsid w:val="004D065E"/>
    <w:rsid w:val="004D79A2"/>
    <w:rsid w:val="0053723A"/>
    <w:rsid w:val="005575A0"/>
    <w:rsid w:val="00570F6F"/>
    <w:rsid w:val="00586E87"/>
    <w:rsid w:val="00590696"/>
    <w:rsid w:val="005A0C35"/>
    <w:rsid w:val="005C5758"/>
    <w:rsid w:val="005C59C1"/>
    <w:rsid w:val="005D3749"/>
    <w:rsid w:val="005E647F"/>
    <w:rsid w:val="005F3B72"/>
    <w:rsid w:val="00613B2B"/>
    <w:rsid w:val="00631B81"/>
    <w:rsid w:val="00634EB0"/>
    <w:rsid w:val="006516B7"/>
    <w:rsid w:val="00655211"/>
    <w:rsid w:val="00662482"/>
    <w:rsid w:val="006C25F7"/>
    <w:rsid w:val="006D45B7"/>
    <w:rsid w:val="006F18D1"/>
    <w:rsid w:val="00715E59"/>
    <w:rsid w:val="007316B5"/>
    <w:rsid w:val="00766EF2"/>
    <w:rsid w:val="007746B9"/>
    <w:rsid w:val="00775004"/>
    <w:rsid w:val="007939CC"/>
    <w:rsid w:val="007A12E7"/>
    <w:rsid w:val="007C0E3B"/>
    <w:rsid w:val="007E7C84"/>
    <w:rsid w:val="00824941"/>
    <w:rsid w:val="00826B56"/>
    <w:rsid w:val="00872BC2"/>
    <w:rsid w:val="00887AE4"/>
    <w:rsid w:val="00892FE9"/>
    <w:rsid w:val="008D28C9"/>
    <w:rsid w:val="008E7073"/>
    <w:rsid w:val="008F599F"/>
    <w:rsid w:val="00904609"/>
    <w:rsid w:val="00926FE2"/>
    <w:rsid w:val="00934B2D"/>
    <w:rsid w:val="009910B9"/>
    <w:rsid w:val="009B13BC"/>
    <w:rsid w:val="009B35AB"/>
    <w:rsid w:val="009F0ED5"/>
    <w:rsid w:val="00A0798A"/>
    <w:rsid w:val="00A20741"/>
    <w:rsid w:val="00A21FE0"/>
    <w:rsid w:val="00A40D31"/>
    <w:rsid w:val="00A5099C"/>
    <w:rsid w:val="00A51CEE"/>
    <w:rsid w:val="00A74FCD"/>
    <w:rsid w:val="00AC6317"/>
    <w:rsid w:val="00AC7818"/>
    <w:rsid w:val="00AD1444"/>
    <w:rsid w:val="00AD4EE3"/>
    <w:rsid w:val="00AE6AAB"/>
    <w:rsid w:val="00AF485F"/>
    <w:rsid w:val="00B04ACE"/>
    <w:rsid w:val="00B13117"/>
    <w:rsid w:val="00B51F87"/>
    <w:rsid w:val="00B55A47"/>
    <w:rsid w:val="00B7339F"/>
    <w:rsid w:val="00B900A3"/>
    <w:rsid w:val="00BA2557"/>
    <w:rsid w:val="00BB05FE"/>
    <w:rsid w:val="00BE72F8"/>
    <w:rsid w:val="00BF49A1"/>
    <w:rsid w:val="00BF6258"/>
    <w:rsid w:val="00C1398B"/>
    <w:rsid w:val="00C3736D"/>
    <w:rsid w:val="00C711EE"/>
    <w:rsid w:val="00C9345A"/>
    <w:rsid w:val="00CD24C5"/>
    <w:rsid w:val="00CD4EB0"/>
    <w:rsid w:val="00CD71AF"/>
    <w:rsid w:val="00D04FC1"/>
    <w:rsid w:val="00D311C4"/>
    <w:rsid w:val="00D42800"/>
    <w:rsid w:val="00D55D9F"/>
    <w:rsid w:val="00D61E7A"/>
    <w:rsid w:val="00D83028"/>
    <w:rsid w:val="00D90051"/>
    <w:rsid w:val="00D91442"/>
    <w:rsid w:val="00DD3713"/>
    <w:rsid w:val="00DE0553"/>
    <w:rsid w:val="00E33BCF"/>
    <w:rsid w:val="00E47241"/>
    <w:rsid w:val="00E5211F"/>
    <w:rsid w:val="00E669D4"/>
    <w:rsid w:val="00E76DD6"/>
    <w:rsid w:val="00E777CA"/>
    <w:rsid w:val="00EE5E72"/>
    <w:rsid w:val="00F00F1F"/>
    <w:rsid w:val="00F1672E"/>
    <w:rsid w:val="00F474B3"/>
    <w:rsid w:val="00F567AB"/>
    <w:rsid w:val="00F803F4"/>
    <w:rsid w:val="00F82C40"/>
    <w:rsid w:val="00FA10CF"/>
    <w:rsid w:val="00FB7D1F"/>
    <w:rsid w:val="00FE5BE6"/>
    <w:rsid w:val="08253C58"/>
    <w:rsid w:val="10572E1C"/>
    <w:rsid w:val="10B05248"/>
    <w:rsid w:val="16ED44DA"/>
    <w:rsid w:val="172B570A"/>
    <w:rsid w:val="17872AB3"/>
    <w:rsid w:val="1FD759C0"/>
    <w:rsid w:val="22D60519"/>
    <w:rsid w:val="258876D4"/>
    <w:rsid w:val="2CB86935"/>
    <w:rsid w:val="2EED68F5"/>
    <w:rsid w:val="2F1C3757"/>
    <w:rsid w:val="438A1857"/>
    <w:rsid w:val="443D638D"/>
    <w:rsid w:val="492960B0"/>
    <w:rsid w:val="4A273284"/>
    <w:rsid w:val="4F844CD5"/>
    <w:rsid w:val="4FC63354"/>
    <w:rsid w:val="525F10E1"/>
    <w:rsid w:val="6DE732CD"/>
    <w:rsid w:val="6EC6456A"/>
    <w:rsid w:val="6F4A6F49"/>
    <w:rsid w:val="73B01345"/>
    <w:rsid w:val="76592168"/>
    <w:rsid w:val="76D02541"/>
    <w:rsid w:val="799A0ACD"/>
    <w:rsid w:val="7C3C75CC"/>
    <w:rsid w:val="7D4F0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3">
    <w:name w:val="table of authorities"/>
    <w:basedOn w:val="1"/>
    <w:next w:val="1"/>
    <w:unhideWhenUsed/>
    <w:qFormat/>
    <w:uiPriority w:val="99"/>
    <w:pPr>
      <w:spacing w:before="100" w:beforeAutospacing="1" w:after="100" w:afterAutospacing="1"/>
      <w:ind w:left="420" w:leftChars="200"/>
    </w:pPr>
    <w:rPr>
      <w:rFonts w:ascii="Calibri" w:hAnsi="Calibri" w:cs="Calibri"/>
      <w:szCs w:val="21"/>
    </w:rPr>
  </w:style>
  <w:style w:type="paragraph" w:styleId="4">
    <w:name w:val="Body Text"/>
    <w:basedOn w:val="1"/>
    <w:qFormat/>
    <w:uiPriority w:val="0"/>
    <w:pPr>
      <w:spacing w:before="34"/>
      <w:ind w:left="593"/>
    </w:pPr>
    <w:rPr>
      <w:rFonts w:ascii="宋体" w:hAnsi="宋体"/>
      <w:sz w:val="24"/>
    </w:rPr>
  </w:style>
  <w:style w:type="paragraph" w:styleId="5">
    <w:name w:val="Body Text Indent"/>
    <w:basedOn w:val="1"/>
    <w:qFormat/>
    <w:uiPriority w:val="0"/>
    <w:pPr>
      <w:spacing w:after="120"/>
      <w:ind w:left="420" w:leftChars="200"/>
    </w:pPr>
  </w:style>
  <w:style w:type="paragraph" w:styleId="6">
    <w:name w:val="Date"/>
    <w:basedOn w:val="1"/>
    <w:next w:val="1"/>
    <w:link w:val="23"/>
    <w:uiPriority w:val="0"/>
    <w:pPr>
      <w:ind w:left="100" w:leftChars="2500"/>
    </w:pPr>
  </w:style>
  <w:style w:type="paragraph" w:styleId="7">
    <w:name w:val="footer"/>
    <w:basedOn w:val="1"/>
    <w:unhideWhenUsed/>
    <w:qFormat/>
    <w:uiPriority w:val="99"/>
    <w:pPr>
      <w:tabs>
        <w:tab w:val="center" w:pos="4153"/>
        <w:tab w:val="right" w:pos="8306"/>
      </w:tabs>
      <w:snapToGrid w:val="0"/>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54"/>
      <w:ind w:left="6"/>
    </w:pPr>
    <w:rPr>
      <w:rFonts w:ascii="宋体" w:hAnsi="宋体"/>
      <w:sz w:val="24"/>
    </w:rPr>
  </w:style>
  <w:style w:type="paragraph" w:styleId="10">
    <w:name w:val="Normal (Web)"/>
    <w:basedOn w:val="1"/>
    <w:unhideWhenUsed/>
    <w:qFormat/>
    <w:uiPriority w:val="99"/>
    <w:pPr>
      <w:widowControl/>
      <w:spacing w:before="100" w:beforeAutospacing="1" w:after="100" w:afterAutospacing="1"/>
    </w:pPr>
    <w:rPr>
      <w:rFonts w:ascii="宋体" w:hAnsi="宋体" w:cs="宋体"/>
      <w:sz w:val="24"/>
    </w:rPr>
  </w:style>
  <w:style w:type="paragraph" w:styleId="11">
    <w:name w:val="Body Text First Indent"/>
    <w:basedOn w:val="4"/>
    <w:qFormat/>
    <w:uiPriority w:val="0"/>
    <w:pPr>
      <w:spacing w:before="0" w:after="120"/>
      <w:ind w:left="0" w:firstLine="420" w:firstLineChars="100"/>
    </w:pPr>
    <w:rPr>
      <w:rFonts w:ascii="Times New Roman" w:hAnsi="Times New Roman"/>
      <w:sz w:val="21"/>
    </w:rPr>
  </w:style>
  <w:style w:type="paragraph" w:styleId="12">
    <w:name w:val="Body Text First Indent 2"/>
    <w:basedOn w:val="5"/>
    <w:next w:val="1"/>
    <w:unhideWhenUsed/>
    <w:qFormat/>
    <w:uiPriority w:val="99"/>
    <w:pPr>
      <w:ind w:firstLine="420" w:firstLineChars="200"/>
    </w:pPr>
    <w:rPr>
      <w:rFonts w:eastAsiaTheme="minorEastAsia"/>
    </w:rPr>
  </w:style>
  <w:style w:type="character" w:styleId="15">
    <w:name w:val="Hyperlink"/>
    <w:basedOn w:val="14"/>
    <w:uiPriority w:val="0"/>
    <w:rPr>
      <w:color w:val="0026E5" w:themeColor="hyperlink"/>
      <w:u w:val="single"/>
      <w14:textFill>
        <w14:solidFill>
          <w14:schemeClr w14:val="hlink"/>
        </w14:solidFill>
      </w14:textFill>
    </w:rPr>
  </w:style>
  <w:style w:type="paragraph" w:customStyle="1" w:styleId="16">
    <w:name w:val="0-正文1"/>
    <w:basedOn w:val="1"/>
    <w:next w:val="12"/>
    <w:qFormat/>
    <w:uiPriority w:val="0"/>
    <w:pPr>
      <w:spacing w:before="120" w:after="120" w:line="300" w:lineRule="auto"/>
      <w:ind w:firstLine="200" w:firstLineChars="200"/>
      <w:textAlignment w:val="center"/>
    </w:pPr>
    <w:rPr>
      <w:color w:val="000000" w:themeColor="text1"/>
      <w14:textFill>
        <w14:solidFill>
          <w14:schemeClr w14:val="tx1"/>
        </w14:solidFill>
      </w14:textFill>
    </w:rPr>
  </w:style>
  <w:style w:type="paragraph" w:customStyle="1" w:styleId="17">
    <w:name w:val="0-5五级标题"/>
    <w:basedOn w:val="1"/>
    <w:next w:val="12"/>
    <w:qFormat/>
    <w:uiPriority w:val="0"/>
    <w:pPr>
      <w:numPr>
        <w:ilvl w:val="4"/>
        <w:numId w:val="1"/>
      </w:numPr>
      <w:spacing w:before="120" w:after="120" w:line="300" w:lineRule="auto"/>
      <w:outlineLvl w:val="4"/>
    </w:pPr>
  </w:style>
  <w:style w:type="paragraph" w:customStyle="1" w:styleId="18">
    <w:name w:val="Table Paragraph"/>
    <w:basedOn w:val="1"/>
    <w:qFormat/>
    <w:uiPriority w:val="1"/>
  </w:style>
  <w:style w:type="table" w:customStyle="1" w:styleId="19">
    <w:name w:val="Table Normal"/>
    <w:semiHidden/>
    <w:unhideWhenUsed/>
    <w:qFormat/>
    <w:uiPriority w:val="2"/>
    <w:tblPr>
      <w:tblCellMar>
        <w:top w:w="0" w:type="dxa"/>
        <w:left w:w="0" w:type="dxa"/>
        <w:bottom w:w="0" w:type="dxa"/>
        <w:right w:w="0" w:type="dxa"/>
      </w:tblCellMar>
    </w:tblPr>
  </w:style>
  <w:style w:type="character" w:customStyle="1" w:styleId="20">
    <w:name w:val="无"/>
    <w:qFormat/>
    <w:uiPriority w:val="0"/>
  </w:style>
  <w:style w:type="paragraph" w:styleId="21">
    <w:name w:val="List Paragraph"/>
    <w:basedOn w:val="1"/>
    <w:qFormat/>
    <w:uiPriority w:val="34"/>
    <w:pPr>
      <w:adjustRightInd w:val="0"/>
      <w:spacing w:line="500" w:lineRule="exact"/>
      <w:ind w:firstLine="420" w:firstLineChars="200"/>
      <w:textAlignment w:val="baseline"/>
    </w:pPr>
    <w:rPr>
      <w:szCs w:val="20"/>
    </w:rPr>
  </w:style>
  <w:style w:type="character" w:customStyle="1" w:styleId="22">
    <w:name w:val="Unresolved Mention"/>
    <w:basedOn w:val="14"/>
    <w:semiHidden/>
    <w:unhideWhenUsed/>
    <w:uiPriority w:val="99"/>
    <w:rPr>
      <w:color w:val="605E5C"/>
      <w:shd w:val="clear" w:color="auto" w:fill="E1DFDD"/>
    </w:rPr>
  </w:style>
  <w:style w:type="character" w:customStyle="1" w:styleId="23">
    <w:name w:val="日期 字符"/>
    <w:basedOn w:val="14"/>
    <w:link w:val="6"/>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605</Words>
  <Characters>3452</Characters>
  <Lines>28</Lines>
  <Paragraphs>8</Paragraphs>
  <TotalTime>150</TotalTime>
  <ScaleCrop>false</ScaleCrop>
  <LinksUpToDate>false</LinksUpToDate>
  <CharactersWithSpaces>4049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2024-07-11T03:21:00Z</dcterms:created>
  <dc:creator>123</dc:creator>
  <cp:lastModifiedBy>Administrator</cp:lastModifiedBy>
  <cp:lastPrinted>2024-07-10T09:17:00Z</cp:lastPrinted>
  <dcterms:modified xsi:type="dcterms:W3CDTF">2024-07-11T08:47:00Z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2A0DF81E122547B784FA06488F1C471D</vt:lpwstr>
  </property>
</Properties>
</file>