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29" w:line="440" w:lineRule="exact"/>
        <w:ind w:left="0" w:right="18"/>
        <w:rPr>
          <w:sz w:val="44"/>
          <w:szCs w:val="44"/>
        </w:rPr>
      </w:pPr>
      <w:bookmarkStart w:id="1" w:name="_GoBack"/>
      <w:bookmarkEnd w:id="1"/>
      <w:r>
        <w:rPr>
          <w:rFonts w:hint="eastAsia"/>
          <w:sz w:val="28"/>
          <w:szCs w:val="28"/>
        </w:rPr>
        <w:t>附表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 xml:space="preserve">：         </w:t>
      </w:r>
      <w:r>
        <w:rPr>
          <w:rFonts w:hint="eastAsia"/>
          <w:sz w:val="44"/>
          <w:szCs w:val="44"/>
        </w:rPr>
        <w:t xml:space="preserve">     </w:t>
      </w:r>
    </w:p>
    <w:p>
      <w:pPr>
        <w:pStyle w:val="4"/>
        <w:spacing w:before="29" w:line="440" w:lineRule="exact"/>
        <w:ind w:left="0" w:right="18"/>
        <w:jc w:val="center"/>
      </w:pPr>
      <w:r>
        <w:rPr>
          <w:rFonts w:hint="eastAsia"/>
          <w:sz w:val="44"/>
          <w:szCs w:val="44"/>
        </w:rPr>
        <w:t>评分办法</w:t>
      </w:r>
      <w:bookmarkStart w:id="0" w:name="_Toc2554"/>
    </w:p>
    <w:bookmarkEnd w:id="0"/>
    <w:tbl>
      <w:tblPr>
        <w:tblStyle w:val="17"/>
        <w:tblW w:w="893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78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084" w:type="dxa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lang w:val="zh-CN"/>
              </w:rPr>
              <w:t>评分类别</w:t>
            </w:r>
          </w:p>
        </w:tc>
        <w:tc>
          <w:tcPr>
            <w:tcW w:w="7848" w:type="dxa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lang w:val="zh-CN"/>
              </w:rPr>
              <w:t>具体评审细则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1084" w:type="dxa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zh-CN"/>
              </w:rPr>
              <w:t>投标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zh-CN"/>
              </w:rPr>
              <w:t>报价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20</w:t>
            </w:r>
            <w:r>
              <w:rPr>
                <w:rFonts w:hint="eastAsia"/>
                <w:sz w:val="21"/>
                <w:szCs w:val="21"/>
                <w:highlight w:val="none"/>
                <w:lang w:val="zh-CN"/>
              </w:rPr>
              <w:t>分</w:t>
            </w: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1、满足招标文件规定且在招标控制价以内的有效报价得基本分10分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2、竞争分10分按以下标准评审：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F＝10- （投标人评标价-评标基准价）÷评标基准价× 100×0.8（评标价＞基准价时）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F＝10- （评标基准价-投标人评标价）÷评标基准价× 100×0.5（评标价≤基准价时）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其中：商务标F≥0。 评标基准价计算方法：以所有有效最终投标报价的算术平均值作为评标基准价，如有效的最终投标报价大于等于5家时，则去掉最高报价和最低报价后的算术平均值作为评标基准价。</w:t>
            </w:r>
          </w:p>
          <w:p>
            <w:pPr>
              <w:spacing w:line="360" w:lineRule="exact"/>
              <w:rPr>
                <w:highlight w:val="none"/>
                <w:lang w:val="zh-CN"/>
              </w:rPr>
            </w:pPr>
            <w:r>
              <w:rPr>
                <w:rFonts w:hint="eastAsia"/>
                <w:highlight w:val="none"/>
              </w:rPr>
              <w:t>（最终计算结果得分值精确到小数点后二位，第三位四舍五入）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1084" w:type="dxa"/>
            <w:vMerge w:val="restart"/>
            <w:tcBorders>
              <w:top w:val="nil"/>
            </w:tcBorders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lang w:val="zh-CN"/>
              </w:rPr>
              <w:t>技术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部分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lang w:val="zh-CN"/>
              </w:rPr>
              <w:t>35分</w:t>
            </w: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  <w:rPr>
                <w:lang w:val="zh-CN"/>
              </w:rPr>
            </w:pPr>
            <w:r>
              <w:rPr>
                <w:rFonts w:hint="eastAsia"/>
              </w:rPr>
              <w:t>综合评审对项目需求的理解、服务项目定位和目标确定，以及项目实施各方案中工作计划、方法流程、时间安排等方面的考虑。针对性、合理、可</w:t>
            </w:r>
            <w:r>
              <w:rPr>
                <w:rFonts w:hint="eastAsia"/>
                <w:highlight w:val="none"/>
              </w:rPr>
              <w:t>行</w:t>
            </w:r>
            <w:r>
              <w:rPr>
                <w:rFonts w:hint="eastAsia"/>
                <w:highlight w:val="none"/>
                <w:lang w:val="en-US" w:eastAsia="zh-CN"/>
              </w:rPr>
              <w:t>0</w:t>
            </w:r>
            <w:r>
              <w:rPr>
                <w:rFonts w:hint="eastAsia"/>
                <w:highlight w:val="none"/>
              </w:rPr>
              <w:t>-</w:t>
            </w:r>
            <w:r>
              <w:rPr>
                <w:rFonts w:hint="eastAsia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highlight w:val="none"/>
              </w:rPr>
              <w:t>分，未</w:t>
            </w:r>
            <w:r>
              <w:rPr>
                <w:rFonts w:hint="eastAsia"/>
              </w:rPr>
              <w:t>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检测方案的检测工作实施的组织和技术措施科学。针对性、完整性、合理、可行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-5分，未提供或提供无效的不得分。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  <w:rPr>
                <w:lang w:val="zh-CN"/>
              </w:rPr>
            </w:pPr>
            <w:r>
              <w:rPr>
                <w:rFonts w:hint="eastAsia"/>
              </w:rPr>
              <w:t>技术设备先进，检测、评估方法合理。方法合理性</w:t>
            </w:r>
            <w:r>
              <w:rPr>
                <w:rFonts w:hint="eastAsia"/>
                <w:lang w:val="en-US" w:eastAsia="zh-CN"/>
              </w:rPr>
              <w:t>横向比较得分0</w:t>
            </w:r>
            <w:r>
              <w:rPr>
                <w:rFonts w:hint="eastAsia"/>
              </w:rPr>
              <w:t>-5分，未提供或提供无效的不得分。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对本项目第一部分检测鉴定服务关键点的把握和检测措施合理。合理性</w:t>
            </w:r>
            <w:r>
              <w:rPr>
                <w:rFonts w:hint="eastAsia"/>
                <w:lang w:val="en-US" w:eastAsia="zh-CN"/>
              </w:rPr>
              <w:t>横向比较得分0</w:t>
            </w:r>
            <w:r>
              <w:rPr>
                <w:rFonts w:hint="eastAsia"/>
              </w:rPr>
              <w:t>-5分，未提供或提供无效的不得分。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对本项目第二部分咨询评估服务关键点的把握和实施方案合理。合理性</w:t>
            </w:r>
            <w:r>
              <w:rPr>
                <w:rFonts w:hint="eastAsia"/>
                <w:lang w:val="en-US" w:eastAsia="zh-CN"/>
              </w:rPr>
              <w:t>横向比较得分0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未提供或提供无效的不得分。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有完善的质量控制措施、安全检测保证措施。</w:t>
            </w:r>
            <w:r>
              <w:rPr>
                <w:rFonts w:hint="eastAsia"/>
                <w:lang w:val="en-US" w:eastAsia="zh-CN"/>
              </w:rPr>
              <w:t>措施合理性横向比较得分0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分，未提供或提供无效的不得分。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1084" w:type="dxa"/>
            <w:vMerge w:val="restart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商务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部分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45</w:t>
            </w:r>
            <w:r>
              <w:rPr>
                <w:rFonts w:hint="eastAsia"/>
                <w:sz w:val="21"/>
                <w:szCs w:val="21"/>
                <w:lang w:val="zh-CN"/>
              </w:rPr>
              <w:t>分</w:t>
            </w:r>
          </w:p>
        </w:tc>
        <w:tc>
          <w:tcPr>
            <w:tcW w:w="7848" w:type="dxa"/>
            <w:tcBorders>
              <w:bottom w:val="single" w:color="000000" w:sz="6" w:space="0"/>
            </w:tcBorders>
            <w:vAlign w:val="center"/>
          </w:tcPr>
          <w:p>
            <w:pPr>
              <w:spacing w:line="360" w:lineRule="exact"/>
            </w:pPr>
            <w:r>
              <w:rPr>
                <w:rFonts w:hint="eastAsia"/>
                <w:lang w:val="en-US" w:eastAsia="zh-CN"/>
              </w:rPr>
              <w:t>投标人</w:t>
            </w:r>
            <w:r>
              <w:rPr>
                <w:rFonts w:hint="eastAsia"/>
              </w:rPr>
              <w:t>近三年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2021年5月1日</w:t>
            </w:r>
            <w:r>
              <w:rPr>
                <w:rFonts w:hint="eastAsia"/>
                <w:lang w:val="en-US" w:eastAsia="zh-CN"/>
              </w:rPr>
              <w:t>至今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至今承接过全国重点文物保护单位检测评估项目，每提供一份有效业绩得5分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</w:rPr>
              <w:t>省级重点文物保护单位检测评估项目，每提供一份有效业绩得3分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</w:rPr>
              <w:t>其他类建筑检测评估项目，每提供一份有效业绩得2分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eastAsia"/>
                <w:lang w:val="en-US" w:eastAsia="zh-CN"/>
              </w:rPr>
              <w:t>同一项目按最高等级得分，不可重复，本项</w:t>
            </w:r>
            <w:r>
              <w:rPr>
                <w:rFonts w:hint="eastAsia"/>
              </w:rPr>
              <w:t>最高15分：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</w:rPr>
              <w:t>注：提供业绩合同或协议材料（以签订合同或协议时间为准）复印件加盖</w:t>
            </w:r>
            <w:r>
              <w:rPr>
                <w:rFonts w:hint="eastAsia"/>
                <w:lang w:val="en-US" w:eastAsia="zh-CN"/>
              </w:rPr>
              <w:t>投标人</w:t>
            </w:r>
            <w:r>
              <w:rPr>
                <w:rFonts w:hint="eastAsia"/>
              </w:rPr>
              <w:t>公章，未提供或提供不合格的不得分。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tcBorders>
              <w:top w:val="single" w:color="000000" w:sz="6" w:space="0"/>
            </w:tcBorders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拟派项目负责人具备工程类教授级高级工程师职称证书的得5分，高级工程师职称证书的得3分，中级工程师职称证书的得1分，最高得5分。</w:t>
            </w:r>
          </w:p>
          <w:p>
            <w:pPr>
              <w:spacing w:line="360" w:lineRule="exact"/>
            </w:pPr>
            <w:r>
              <w:rPr>
                <w:rFonts w:hint="eastAsia"/>
              </w:rPr>
              <w:t>注：提供项目负责人职称证书及开标前近6个月内（不含开标当月）的社保证明材料复印件加盖供应商公章，按最高职称计分且不重复计分，未提供或提供不合格的不得分。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tcBorders>
              <w:top w:val="single" w:color="000000" w:sz="6" w:space="0"/>
            </w:tcBorders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1.响应供应商每提供一份市级荣誉证书得2分；每提供一份省、部级荣誉证书得3分；每提供一份国家级荣誉证书得5分，最高10分。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</w:rPr>
              <w:t>注：提供荣誉证书复印件加盖供应商公章，同一项目按最高荣誉计分且不重复计分，未提供或提供不合格的不得分。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2.科学解决检测评估存在问题的能力。作为主持单位，每主持1项省部级及以上科研课题研究或主编1部规范编制得3分，最高6分。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highlight w:val="none"/>
              </w:rPr>
              <w:t>注：提供本单位参加科研课题或规范编制的有效证</w:t>
            </w:r>
            <w:r>
              <w:rPr>
                <w:rFonts w:hint="eastAsia"/>
              </w:rPr>
              <w:t>明材料并加盖公章，未提供或提供不合格的不得分。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</w:pPr>
            <w:r>
              <w:rPr>
                <w:rFonts w:hint="eastAsia" w:ascii="宋体" w:hAnsi="宋体"/>
              </w:rPr>
              <w:t>1</w:t>
            </w:r>
            <w:r>
              <w:rPr>
                <w:rFonts w:hint="eastAsia"/>
              </w:rPr>
              <w:t>.拟派项目组成员（不含项目负责人）≥5人的得3分；5人＞拟派项目组成员（不含项目负责人）≥3人的得1分；拟派项目组成员（不含项目负责人）＜3人的得0分。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2.项目组成员具备高级工程师及以上职称证书的加1分/人，最高得4分。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</w:rPr>
              <w:t>注：提供项目组成员的职称证书及开标前近6个月内的社保证明材料复印件加盖供应商公章，按最高职称计分且不重复计分，未提供或提供不合格的不得分。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未收到建设行政监管部门做出的行政处罚的得2分；有一项扣0.2分，扣完为止。（查询结果以评标委员会开标当天在“信用中国”查询投标人有行政处罚记录信息且在公示期内的予以记分）不重复扣分，扣完为止。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</w:rPr>
              <w:t>注：行政处罚是指投标人因违法经营受到刑事处罚或者责令停产、停业整顿、吊销许可证或者执照、较大数额罚款（在人民币5万元以上）等行政处罚。</w:t>
            </w:r>
          </w:p>
        </w:tc>
      </w:tr>
    </w:tbl>
    <w:p>
      <w:pPr>
        <w:pStyle w:val="4"/>
        <w:spacing w:before="29" w:line="440" w:lineRule="exact"/>
        <w:ind w:left="0" w:right="18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15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lMGEyZmZhMGM1ZTQwYjEwMTc1YWJiYmVmMmQyZWIifQ=="/>
  </w:docVars>
  <w:rsids>
    <w:rsidRoot w:val="00B55A47"/>
    <w:rsid w:val="000D1620"/>
    <w:rsid w:val="001D5899"/>
    <w:rsid w:val="002C359A"/>
    <w:rsid w:val="003A378E"/>
    <w:rsid w:val="004C79B9"/>
    <w:rsid w:val="004D79A2"/>
    <w:rsid w:val="00B55A47"/>
    <w:rsid w:val="00DD3713"/>
    <w:rsid w:val="08253C58"/>
    <w:rsid w:val="10572E1C"/>
    <w:rsid w:val="10B05248"/>
    <w:rsid w:val="16ED44DA"/>
    <w:rsid w:val="172B570A"/>
    <w:rsid w:val="17872AB3"/>
    <w:rsid w:val="1FD759C0"/>
    <w:rsid w:val="22D60519"/>
    <w:rsid w:val="258876D4"/>
    <w:rsid w:val="2CB86935"/>
    <w:rsid w:val="2EED68F5"/>
    <w:rsid w:val="2F1C3757"/>
    <w:rsid w:val="44C658D4"/>
    <w:rsid w:val="492960B0"/>
    <w:rsid w:val="4A273284"/>
    <w:rsid w:val="4F844CD5"/>
    <w:rsid w:val="4FC63354"/>
    <w:rsid w:val="525F10E1"/>
    <w:rsid w:val="624A63D5"/>
    <w:rsid w:val="6EC6456A"/>
    <w:rsid w:val="6F4A6F49"/>
    <w:rsid w:val="73B01345"/>
    <w:rsid w:val="76592168"/>
    <w:rsid w:val="76D02541"/>
    <w:rsid w:val="781E4883"/>
    <w:rsid w:val="799A0ACD"/>
    <w:rsid w:val="7C3C75CC"/>
    <w:rsid w:val="7D4F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4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0">
    <w:name w:val="Body Text First Indent"/>
    <w:basedOn w:val="4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1">
    <w:name w:val="Body Text First Indent 2"/>
    <w:basedOn w:val="5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paragraph" w:customStyle="1" w:styleId="14">
    <w:name w:val="0-正文1"/>
    <w:basedOn w:val="1"/>
    <w:next w:val="11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15">
    <w:name w:val="0-5五级标题"/>
    <w:basedOn w:val="1"/>
    <w:next w:val="11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16">
    <w:name w:val="Table Paragraph"/>
    <w:basedOn w:val="1"/>
    <w:qFormat/>
    <w:uiPriority w:val="1"/>
  </w:style>
  <w:style w:type="table" w:customStyle="1" w:styleId="1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无"/>
    <w:qFormat/>
    <w:uiPriority w:val="0"/>
  </w:style>
  <w:style w:type="paragraph" w:styleId="19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3529</Words>
  <Characters>3730</Characters>
  <Lines>28</Lines>
  <Paragraphs>7</Paragraphs>
  <TotalTime>7</TotalTime>
  <ScaleCrop>false</ScaleCrop>
  <LinksUpToDate>false</LinksUpToDate>
  <CharactersWithSpaces>3768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2024-06-05T06:50:00Z</dcterms:created>
  <dc:creator>123</dc:creator>
  <cp:lastModifiedBy>Administrator</cp:lastModifiedBy>
  <dcterms:modified xsi:type="dcterms:W3CDTF">2024-06-25T09:54:38Z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E165FB6517564C2DA2A927C7E1DD658A</vt:lpwstr>
  </property>
</Properties>
</file>