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440" w:lineRule="exact"/>
        <w:ind w:right="0" w:rightChars="0" w:firstLine="500" w:firstLineChars="200"/>
        <w:contextualSpacing/>
        <w:jc w:val="left"/>
        <w:rPr>
          <w:rFonts w:cs="仿宋_GB2312" w:asciiTheme="minorEastAsia" w:hAnsiTheme="minorEastAsia"/>
          <w:color w:val="000000" w:themeColor="text1"/>
          <w:spacing w:val="20"/>
          <w:szCs w:val="21"/>
          <w14:textFill>
            <w14:solidFill>
              <w14:schemeClr w14:val="tx1"/>
            </w14:solidFill>
          </w14:textFill>
        </w:rPr>
      </w:pPr>
      <w:r>
        <w:rPr>
          <w:rFonts w:hint="eastAsia" w:cs="仿宋_GB2312" w:asciiTheme="minorEastAsia" w:hAnsiTheme="minorEastAsia"/>
          <w:color w:val="000000" w:themeColor="text1"/>
          <w:spacing w:val="20"/>
          <w:szCs w:val="21"/>
          <w14:textFill>
            <w14:solidFill>
              <w14:schemeClr w14:val="tx1"/>
            </w14:solidFill>
          </w14:textFill>
        </w:rPr>
        <w:t xml:space="preserve">附件3  </w:t>
      </w:r>
    </w:p>
    <w:p>
      <w:pPr>
        <w:keepNext w:val="0"/>
        <w:keepLines w:val="0"/>
        <w:pageBreakBefore w:val="0"/>
        <w:kinsoku/>
        <w:wordWrap/>
        <w:overflowPunct/>
        <w:topLinePunct w:val="0"/>
        <w:autoSpaceDE/>
        <w:autoSpaceDN/>
        <w:bidi w:val="0"/>
        <w:adjustRightInd w:val="0"/>
        <w:snapToGrid w:val="0"/>
        <w:spacing w:line="360" w:lineRule="exact"/>
        <w:ind w:right="0" w:rightChars="0" w:firstLine="680" w:firstLineChars="200"/>
        <w:contextualSpacing/>
        <w:jc w:val="center"/>
        <w:rPr>
          <w:rFonts w:asciiTheme="minorEastAsia" w:hAnsiTheme="minorEastAsia"/>
          <w:color w:val="000000" w:themeColor="text1"/>
          <w:spacing w:val="20"/>
          <w:sz w:val="30"/>
          <w:szCs w:val="30"/>
          <w14:textFill>
            <w14:solidFill>
              <w14:schemeClr w14:val="tx1"/>
            </w14:solidFill>
          </w14:textFill>
        </w:rPr>
      </w:pPr>
      <w:r>
        <w:rPr>
          <w:rFonts w:hint="eastAsia" w:cs="仿宋_GB2312" w:asciiTheme="minorEastAsia" w:hAnsiTheme="minorEastAsia"/>
          <w:color w:val="000000" w:themeColor="text1"/>
          <w:spacing w:val="20"/>
          <w:sz w:val="30"/>
          <w:szCs w:val="30"/>
          <w14:textFill>
            <w14:solidFill>
              <w14:schemeClr w14:val="tx1"/>
            </w14:solidFill>
          </w14:textFill>
        </w:rPr>
        <w:t xml:space="preserve"> 评分表</w:t>
      </w:r>
    </w:p>
    <w:tbl>
      <w:tblPr>
        <w:tblStyle w:val="3"/>
        <w:tblW w:w="9640" w:type="dxa"/>
        <w:tblInd w:w="-269" w:type="dxa"/>
        <w:tblLayout w:type="fixed"/>
        <w:tblCellMar>
          <w:top w:w="15" w:type="dxa"/>
          <w:left w:w="15" w:type="dxa"/>
          <w:bottom w:w="15" w:type="dxa"/>
          <w:right w:w="15" w:type="dxa"/>
        </w:tblCellMar>
      </w:tblPr>
      <w:tblGrid>
        <w:gridCol w:w="2127"/>
        <w:gridCol w:w="1701"/>
        <w:gridCol w:w="4678"/>
        <w:gridCol w:w="1134"/>
      </w:tblGrid>
      <w:tr>
        <w:tblPrEx>
          <w:tblLayout w:type="fixed"/>
          <w:tblCellMar>
            <w:top w:w="15" w:type="dxa"/>
            <w:left w:w="15" w:type="dxa"/>
            <w:bottom w:w="15" w:type="dxa"/>
            <w:right w:w="15" w:type="dxa"/>
          </w:tblCellMar>
        </w:tblPrEx>
        <w:trPr>
          <w:trHeight w:val="713" w:hRule="atLeast"/>
        </w:trPr>
        <w:tc>
          <w:tcPr>
            <w:tcW w:w="21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napToGrid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评标项目</w:t>
            </w: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napToGrid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分值</w:t>
            </w:r>
          </w:p>
        </w:tc>
        <w:tc>
          <w:tcPr>
            <w:tcW w:w="467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napToGrid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评分细则</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napToGrid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得分</w:t>
            </w:r>
          </w:p>
        </w:tc>
      </w:tr>
      <w:tr>
        <w:tblPrEx>
          <w:tblLayout w:type="fixed"/>
          <w:tblCellMar>
            <w:top w:w="15" w:type="dxa"/>
            <w:left w:w="15" w:type="dxa"/>
            <w:bottom w:w="15" w:type="dxa"/>
            <w:right w:w="15" w:type="dxa"/>
          </w:tblCellMar>
        </w:tblPrEx>
        <w:trPr>
          <w:trHeight w:val="4143" w:hRule="atLeast"/>
        </w:trPr>
        <w:tc>
          <w:tcPr>
            <w:tcW w:w="21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报价部分</w:t>
            </w:r>
          </w:p>
        </w:tc>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30分</w:t>
            </w:r>
          </w:p>
        </w:tc>
        <w:tc>
          <w:tcPr>
            <w:tcW w:w="467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contextualSpacing/>
              <w:jc w:val="left"/>
              <w:textAlignment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报价得分计算方法：以有效投标价格最低的投标报价为评标基准价，其价格分满分，其他投标人报价得分=（评标基准价/投标报价）*30</w:t>
            </w:r>
          </w:p>
          <w:p>
            <w:pPr>
              <w:keepNext w:val="0"/>
              <w:keepLines w:val="0"/>
              <w:pageBreakBefore w:val="0"/>
              <w:widowControl/>
              <w:kinsoku/>
              <w:wordWrap/>
              <w:overflowPunct/>
              <w:topLinePunct w:val="0"/>
              <w:autoSpaceDE/>
              <w:autoSpaceDN/>
              <w:bidi w:val="0"/>
              <w:spacing w:line="360" w:lineRule="exact"/>
              <w:ind w:right="0" w:rightChars="0"/>
              <w:contextualSpacing/>
              <w:jc w:val="left"/>
              <w:textAlignment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（备注：根据</w:t>
            </w:r>
            <w:r>
              <w:rPr>
                <w:rFonts w:cs="宋体" w:asciiTheme="minorEastAsia" w:hAnsiTheme="minorEastAsia"/>
                <w:color w:val="000000" w:themeColor="text1"/>
                <w:szCs w:val="21"/>
                <w14:textFill>
                  <w14:solidFill>
                    <w14:schemeClr w14:val="tx1"/>
                  </w14:solidFill>
                </w14:textFill>
              </w:rPr>
              <w:t>财政部印发的财政部令87号 《政府采购货物和服务招投标管理办法》规定，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hint="eastAsia" w:cs="宋体" w:asciiTheme="minorEastAsia" w:hAnsiTheme="minorEastAsia"/>
                <w:color w:val="000000" w:themeColor="text1"/>
                <w:szCs w:val="21"/>
                <w14:textFill>
                  <w14:solidFill>
                    <w14:schemeClr w14:val="tx1"/>
                  </w14:solidFill>
                </w14:textFill>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r>
      <w:tr>
        <w:tblPrEx>
          <w:tblLayout w:type="fixed"/>
          <w:tblCellMar>
            <w:top w:w="15" w:type="dxa"/>
            <w:left w:w="15" w:type="dxa"/>
            <w:bottom w:w="15" w:type="dxa"/>
            <w:right w:w="15" w:type="dxa"/>
          </w:tblCellMar>
        </w:tblPrEx>
        <w:trPr>
          <w:trHeight w:val="735" w:hRule="atLeast"/>
        </w:trPr>
        <w:tc>
          <w:tcPr>
            <w:tcW w:w="2127"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技术部分</w:t>
            </w:r>
          </w:p>
        </w:tc>
        <w:tc>
          <w:tcPr>
            <w:tcW w:w="1701"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70分</w:t>
            </w:r>
          </w:p>
        </w:tc>
        <w:tc>
          <w:tcPr>
            <w:tcW w:w="467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contextualSpacing/>
              <w:jc w:val="left"/>
              <w:textAlignment w:val="center"/>
              <w:rPr>
                <w:rFonts w:cs="宋体"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kern w:val="0"/>
                <w:sz w:val="24"/>
                <w:szCs w:val="24"/>
                <w14:textFill>
                  <w14:solidFill>
                    <w14:schemeClr w14:val="tx1"/>
                  </w14:solidFill>
                </w14:textFill>
              </w:rPr>
              <w:t>总体策划方案（文字）和策划执行工作进度表，能体现投标人对该项目的理解和明确对执行过程中的侧重方面，突出活动文化主题。执行工作进度表：需体现清楚每项工作事项和时间进度安排</w:t>
            </w:r>
            <w:r>
              <w:rPr>
                <w:rFonts w:hint="eastAsia" w:cs="宋体" w:asciiTheme="minorEastAsia" w:hAnsiTheme="minorEastAsia"/>
                <w:color w:val="000000" w:themeColor="text1"/>
                <w:szCs w:val="21"/>
                <w14:textFill>
                  <w14:solidFill>
                    <w14:schemeClr w14:val="tx1"/>
                  </w14:solidFill>
                </w14:textFill>
              </w:rPr>
              <w:t>（得分5-20分，没有不得分）</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r>
      <w:tr>
        <w:tblPrEx>
          <w:tblLayout w:type="fixed"/>
          <w:tblCellMar>
            <w:top w:w="15" w:type="dxa"/>
            <w:left w:w="15" w:type="dxa"/>
            <w:bottom w:w="15" w:type="dxa"/>
            <w:right w:w="15" w:type="dxa"/>
          </w:tblCellMar>
        </w:tblPrEx>
        <w:trPr>
          <w:trHeight w:val="735" w:hRule="atLeast"/>
        </w:trPr>
        <w:tc>
          <w:tcPr>
            <w:tcW w:w="2127"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c>
          <w:tcPr>
            <w:tcW w:w="1701"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p>
        </w:tc>
        <w:tc>
          <w:tcPr>
            <w:tcW w:w="467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contextualSpacing/>
              <w:jc w:val="left"/>
              <w:textAlignment w:val="center"/>
              <w:rPr>
                <w:rFonts w:cs="宋体" w:asciiTheme="minorEastAsia" w:hAnsiTheme="minorEastAsia"/>
                <w:color w:val="000000" w:themeColor="text1"/>
                <w:szCs w:val="21"/>
                <w14:textFill>
                  <w14:solidFill>
                    <w14:schemeClr w14:val="tx1"/>
                  </w14:solidFill>
                </w14:textFill>
              </w:rPr>
            </w:pPr>
            <w:r>
              <w:rPr>
                <w:rFonts w:hint="eastAsia" w:cs="宋体" w:asciiTheme="minorEastAsia" w:hAnsiTheme="minorEastAsia"/>
                <w:color w:val="000000" w:themeColor="text1"/>
                <w:szCs w:val="21"/>
                <w14:textFill>
                  <w14:solidFill>
                    <w14:schemeClr w14:val="tx1"/>
                  </w14:solidFill>
                </w14:textFill>
              </w:rPr>
              <w:t>两个场景活动和直播航拍夜景方案：需明确地点、活动表现形式、时间、天数（得分5-15分，没有不得分）</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r>
      <w:tr>
        <w:tblPrEx>
          <w:tblLayout w:type="fixed"/>
          <w:tblCellMar>
            <w:top w:w="15" w:type="dxa"/>
            <w:left w:w="15" w:type="dxa"/>
            <w:bottom w:w="15" w:type="dxa"/>
            <w:right w:w="15" w:type="dxa"/>
          </w:tblCellMar>
        </w:tblPrEx>
        <w:trPr>
          <w:trHeight w:val="690" w:hRule="atLeast"/>
        </w:trPr>
        <w:tc>
          <w:tcPr>
            <w:tcW w:w="2127"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c>
          <w:tcPr>
            <w:tcW w:w="1701"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p>
        </w:tc>
        <w:tc>
          <w:tcPr>
            <w:tcW w:w="467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contextualSpacing/>
              <w:jc w:val="left"/>
              <w:textAlignment w:val="center"/>
              <w:rPr>
                <w:rFonts w:cs="宋体"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kern w:val="0"/>
                <w:sz w:val="24"/>
                <w:szCs w:val="24"/>
                <w14:textFill>
                  <w14:solidFill>
                    <w14:schemeClr w14:val="tx1"/>
                  </w14:solidFill>
                </w14:textFill>
              </w:rPr>
              <w:t>安保、消防及保洁方案：有安保消防工作预案；人员配置合理，对工作人员要求明确，责任明确</w:t>
            </w:r>
            <w:r>
              <w:rPr>
                <w:rFonts w:hint="eastAsia" w:cs="宋体" w:asciiTheme="minorEastAsia" w:hAnsiTheme="minorEastAsia"/>
                <w:color w:val="000000" w:themeColor="text1"/>
                <w:szCs w:val="21"/>
                <w14:textFill>
                  <w14:solidFill>
                    <w14:schemeClr w14:val="tx1"/>
                  </w14:solidFill>
                </w14:textFill>
              </w:rPr>
              <w:t>（得分5-15分，没有不得分）</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r>
      <w:tr>
        <w:tblPrEx>
          <w:tblLayout w:type="fixed"/>
          <w:tblCellMar>
            <w:top w:w="15" w:type="dxa"/>
            <w:left w:w="15" w:type="dxa"/>
            <w:bottom w:w="15" w:type="dxa"/>
            <w:right w:w="15" w:type="dxa"/>
          </w:tblCellMar>
        </w:tblPrEx>
        <w:trPr>
          <w:trHeight w:val="690" w:hRule="atLeast"/>
        </w:trPr>
        <w:tc>
          <w:tcPr>
            <w:tcW w:w="2127"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c>
          <w:tcPr>
            <w:tcW w:w="1701"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p>
        </w:tc>
        <w:tc>
          <w:tcPr>
            <w:tcW w:w="467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contextualSpacing/>
              <w:textAlignment w:val="center"/>
              <w:rPr>
                <w:rFonts w:asciiTheme="minorEastAsia" w:hAnsiTheme="minorEastAsia"/>
                <w:color w:val="000000" w:themeColor="text1"/>
                <w:spacing w:val="20"/>
                <w:szCs w:val="21"/>
                <w14:textFill>
                  <w14:solidFill>
                    <w14:schemeClr w14:val="tx1"/>
                  </w14:solidFill>
                </w14:textFill>
              </w:rPr>
            </w:pPr>
            <w:r>
              <w:rPr>
                <w:rFonts w:hint="eastAsia" w:cs="Times New Roman" w:asciiTheme="minorEastAsia" w:hAnsiTheme="minorEastAsia"/>
                <w:color w:val="000000" w:themeColor="text1"/>
                <w:kern w:val="0"/>
                <w:sz w:val="24"/>
                <w:szCs w:val="24"/>
                <w14:textFill>
                  <w14:solidFill>
                    <w14:schemeClr w14:val="tx1"/>
                  </w14:solidFill>
                </w14:textFill>
              </w:rPr>
              <w:t>媒体推广宣传方案：明确宣传推广的平台、内容、次数、形式</w:t>
            </w:r>
            <w:r>
              <w:rPr>
                <w:rFonts w:hint="eastAsia" w:cs="宋体" w:asciiTheme="minorEastAsia" w:hAnsiTheme="minorEastAsia"/>
                <w:color w:val="000000" w:themeColor="text1"/>
                <w:szCs w:val="21"/>
                <w14:textFill>
                  <w14:solidFill>
                    <w14:schemeClr w14:val="tx1"/>
                  </w14:solidFill>
                </w14:textFill>
              </w:rPr>
              <w:t>（得分5-15分，没有不得分）</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r>
      <w:tr>
        <w:tblPrEx>
          <w:tblLayout w:type="fixed"/>
          <w:tblCellMar>
            <w:top w:w="15" w:type="dxa"/>
            <w:left w:w="15" w:type="dxa"/>
            <w:bottom w:w="15" w:type="dxa"/>
            <w:right w:w="15" w:type="dxa"/>
          </w:tblCellMar>
        </w:tblPrEx>
        <w:trPr>
          <w:trHeight w:val="750" w:hRule="atLeast"/>
        </w:trPr>
        <w:tc>
          <w:tcPr>
            <w:tcW w:w="2127"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c>
          <w:tcPr>
            <w:tcW w:w="1701"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p>
        </w:tc>
        <w:tc>
          <w:tcPr>
            <w:tcW w:w="467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contextualSpacing/>
              <w:textAlignment w:val="center"/>
              <w:rPr>
                <w:rFonts w:cs="宋体" w:asciiTheme="minorEastAsia" w:hAnsiTheme="minorEastAsia"/>
                <w:color w:val="000000" w:themeColor="text1"/>
                <w:szCs w:val="21"/>
                <w14:textFill>
                  <w14:solidFill>
                    <w14:schemeClr w14:val="tx1"/>
                  </w14:solidFill>
                </w14:textFill>
              </w:rPr>
            </w:pPr>
            <w:bookmarkStart w:id="0" w:name="_GoBack"/>
            <w:bookmarkEnd w:id="0"/>
            <w:r>
              <w:rPr>
                <w:rFonts w:hint="eastAsia" w:cs="宋体" w:asciiTheme="minorEastAsia" w:hAnsiTheme="minorEastAsia"/>
                <w:color w:val="000000" w:themeColor="text1"/>
                <w:szCs w:val="21"/>
                <w14:textFill>
                  <w14:solidFill>
                    <w14:schemeClr w14:val="tx1"/>
                  </w14:solidFill>
                </w14:textFill>
              </w:rPr>
              <w:t>承诺书：承诺1、按甲方要求保质保量完成各项工作；2、在中标合同履行中不违背合同实质性条款；3、严格遵守相关法律法规、规章、规定，诚实守信。（得分5分，没有不得分）</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szCs w:val="21"/>
                <w14:textFill>
                  <w14:solidFill>
                    <w14:schemeClr w14:val="tx1"/>
                  </w14:solidFill>
                </w14:textFill>
              </w:rPr>
            </w:pPr>
          </w:p>
        </w:tc>
      </w:tr>
      <w:tr>
        <w:tblPrEx>
          <w:tblLayout w:type="fixed"/>
          <w:tblCellMar>
            <w:top w:w="15" w:type="dxa"/>
            <w:left w:w="15" w:type="dxa"/>
            <w:bottom w:w="15" w:type="dxa"/>
            <w:right w:w="15" w:type="dxa"/>
          </w:tblCellMar>
        </w:tblPrEx>
        <w:trPr>
          <w:trHeight w:val="780" w:hRule="atLeast"/>
        </w:trPr>
        <w:tc>
          <w:tcPr>
            <w:tcW w:w="850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总得分</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spacing w:line="360" w:lineRule="exact"/>
              <w:ind w:right="0" w:rightChars="0" w:firstLine="420" w:firstLineChars="200"/>
              <w:contextualSpacing/>
              <w:jc w:val="center"/>
              <w:textAlignment w:val="center"/>
              <w:rPr>
                <w:rFonts w:cs="宋体" w:asciiTheme="minorEastAsia" w:hAnsiTheme="minorEastAsia"/>
                <w:color w:val="000000" w:themeColor="text1"/>
                <w:kern w:val="0"/>
                <w:szCs w:val="21"/>
                <w14:textFill>
                  <w14:solidFill>
                    <w14:schemeClr w14:val="tx1"/>
                  </w14:solidFill>
                </w14:textFill>
              </w:rPr>
            </w:pPr>
          </w:p>
        </w:tc>
      </w:tr>
    </w:tbl>
    <w:p>
      <w:pPr>
        <w:keepNext w:val="0"/>
        <w:keepLines w:val="0"/>
        <w:pageBreakBefore w:val="0"/>
        <w:kinsoku/>
        <w:wordWrap/>
        <w:overflowPunct/>
        <w:topLinePunct w:val="0"/>
        <w:autoSpaceDE/>
        <w:autoSpaceDN/>
        <w:bidi w:val="0"/>
        <w:adjustRightInd w:val="0"/>
        <w:snapToGrid w:val="0"/>
        <w:spacing w:line="440" w:lineRule="exact"/>
        <w:ind w:right="0" w:rightChars="0" w:firstLine="500" w:firstLineChars="200"/>
        <w:contextualSpacing/>
        <w:jc w:val="right"/>
        <w:rPr>
          <w:rFonts w:asciiTheme="minorEastAsia" w:hAnsiTheme="minorEastAsia"/>
          <w:color w:val="000000" w:themeColor="text1"/>
          <w:spacing w:val="20"/>
          <w:szCs w:val="21"/>
          <w14:textFill>
            <w14:solidFill>
              <w14:schemeClr w14:val="tx1"/>
            </w14:solidFill>
          </w14:textFill>
        </w:rPr>
      </w:pPr>
      <w:r>
        <w:rPr>
          <w:rFonts w:hint="eastAsia" w:asciiTheme="minorEastAsia" w:hAnsiTheme="minorEastAsia"/>
          <w:color w:val="000000" w:themeColor="text1"/>
          <w:spacing w:val="20"/>
          <w:szCs w:val="21"/>
          <w14:textFill>
            <w14:solidFill>
              <w14:schemeClr w14:val="tx1"/>
            </w14:solidFill>
          </w14:textFill>
        </w:rPr>
        <w:t xml:space="preserve">  </w:t>
      </w:r>
    </w:p>
    <w:p>
      <w:r>
        <w:rPr>
          <w:rFonts w:cs="Times New Roman" w:asciiTheme="minorEastAsia" w:hAnsiTheme="minorEastAsia"/>
          <w:color w:val="000000" w:themeColor="text1"/>
          <w:kern w:val="0"/>
          <w:sz w:val="24"/>
          <w:szCs w:val="24"/>
          <w14:textFill>
            <w14:solidFill>
              <w14:schemeClr w14:val="tx1"/>
            </w14:solidFill>
          </w14:textFill>
        </w:rPr>
        <w:t>    </w:t>
      </w:r>
      <w:r>
        <w:rPr>
          <w:rFonts w:hint="eastAsia" w:asciiTheme="minorEastAsia" w:hAnsiTheme="minorEastAsia"/>
          <w:color w:val="000000" w:themeColor="text1"/>
          <w:spacing w:val="20"/>
          <w:sz w:val="24"/>
          <w:szCs w:val="24"/>
          <w14:textFill>
            <w14:solidFill>
              <w14:schemeClr w14:val="tx1"/>
            </w14:solidFill>
          </w14:textFill>
        </w:rPr>
        <w:t>（盖章）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68352C"/>
    <w:rsid w:val="7C6835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2018-02-08T10:16:00Z</dcterms:created>
  <dc:creator>暖暖1390478088</dc:creator>
  <cp:lastModifiedBy>暖暖1390478088</cp:lastModifiedBy>
  <dcterms:modified xsi:type="dcterms:W3CDTF">2018-02-08T10:18:43Z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