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hint="eastAsia" w:ascii="宋体" w:hAnsi="宋体"/>
          <w:color w:val="000000"/>
          <w:spacing w:val="20"/>
          <w:sz w:val="28"/>
          <w:szCs w:val="28"/>
        </w:rPr>
      </w:pPr>
      <w:r>
        <w:rPr>
          <w:rFonts w:hint="eastAsia" w:ascii="宋体" w:hAnsi="宋体"/>
          <w:color w:val="000000"/>
          <w:spacing w:val="20"/>
          <w:sz w:val="28"/>
          <w:szCs w:val="28"/>
        </w:rPr>
        <w:t>附件3</w:t>
      </w:r>
    </w:p>
    <w:p>
      <w:pPr>
        <w:widowControl/>
        <w:shd w:val="clear" w:color="auto" w:fill="FFFFFF"/>
        <w:adjustRightInd w:val="0"/>
        <w:snapToGrid w:val="0"/>
        <w:spacing w:line="440" w:lineRule="exact"/>
        <w:ind w:firstLine="680" w:firstLineChars="200"/>
        <w:contextualSpacing/>
        <w:jc w:val="center"/>
        <w:rPr>
          <w:rFonts w:ascii="宋体" w:hAnsi="宋体"/>
          <w:color w:val="000000"/>
          <w:spacing w:val="20"/>
          <w:sz w:val="30"/>
          <w:szCs w:val="30"/>
        </w:rPr>
      </w:pPr>
      <w:r>
        <w:rPr>
          <w:rFonts w:hint="eastAsia" w:ascii="宋体" w:hAnsi="宋体" w:cs="仿宋_GB2312"/>
          <w:color w:val="000000"/>
          <w:spacing w:val="20"/>
          <w:sz w:val="30"/>
          <w:szCs w:val="30"/>
        </w:rPr>
        <w:t>评分表</w:t>
      </w:r>
      <w:r>
        <w:rPr>
          <w:rFonts w:ascii="宋体" w:hAnsi="宋体" w:cs="宋体"/>
          <w:color w:val="444444"/>
          <w:kern w:val="0"/>
          <w:szCs w:val="21"/>
        </w:rPr>
        <w:t xml:space="preserve"> </w:t>
      </w:r>
    </w:p>
    <w:tbl>
      <w:tblPr>
        <w:tblStyle w:val="3"/>
        <w:tblW w:w="9640" w:type="dxa"/>
        <w:tblInd w:w="-176" w:type="dxa"/>
        <w:tblLayout w:type="fixed"/>
        <w:tblCellMar>
          <w:top w:w="15" w:type="dxa"/>
          <w:left w:w="15" w:type="dxa"/>
          <w:bottom w:w="15" w:type="dxa"/>
          <w:right w:w="15" w:type="dxa"/>
        </w:tblCellMar>
      </w:tblPr>
      <w:tblGrid>
        <w:gridCol w:w="2127"/>
        <w:gridCol w:w="1985"/>
        <w:gridCol w:w="4394"/>
        <w:gridCol w:w="1134"/>
      </w:tblGrid>
      <w:tr>
        <w:tblPrEx>
          <w:tblLayout w:type="fixed"/>
          <w:tblCellMar>
            <w:top w:w="15" w:type="dxa"/>
            <w:left w:w="15" w:type="dxa"/>
            <w:bottom w:w="15" w:type="dxa"/>
            <w:right w:w="15" w:type="dxa"/>
          </w:tblCellMar>
        </w:tblPrEx>
        <w:trPr>
          <w:trHeight w:val="713" w:hRule="atLeast"/>
        </w:trPr>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440" w:lineRule="exact"/>
              <w:contextualSpacing/>
              <w:jc w:val="center"/>
              <w:textAlignment w:val="center"/>
              <w:rPr>
                <w:rFonts w:ascii="宋体" w:hAnsi="宋体" w:cs="宋体"/>
                <w:color w:val="000000"/>
                <w:szCs w:val="21"/>
              </w:rPr>
            </w:pPr>
            <w:r>
              <w:rPr>
                <w:rFonts w:hint="eastAsia" w:ascii="宋体" w:hAnsi="宋体" w:cs="宋体"/>
                <w:color w:val="000000"/>
                <w:szCs w:val="21"/>
              </w:rPr>
              <w:t>评标项目</w:t>
            </w:r>
            <w:r>
              <w:rPr>
                <w:rFonts w:ascii="宋体" w:hAnsi="宋体" w:cs="宋体"/>
                <w:color w:val="444444"/>
                <w:kern w:val="0"/>
                <w:szCs w:val="21"/>
              </w:rPr>
              <w:t xml:space="preserve"> </w:t>
            </w:r>
          </w:p>
        </w:tc>
        <w:tc>
          <w:tcPr>
            <w:tcW w:w="1985" w:type="dxa"/>
            <w:tcBorders>
              <w:top w:val="single" w:color="000000" w:sz="4" w:space="0"/>
              <w:left w:val="nil"/>
              <w:bottom w:val="single" w:color="000000" w:sz="4" w:space="0"/>
              <w:right w:val="single" w:color="000000" w:sz="4" w:space="0"/>
            </w:tcBorders>
            <w:shd w:val="clear" w:color="auto" w:fill="auto"/>
            <w:vAlign w:val="top"/>
          </w:tcPr>
          <w:p>
            <w:pPr>
              <w:widowControl/>
              <w:snapToGrid w:val="0"/>
              <w:spacing w:line="440" w:lineRule="exact"/>
              <w:contextualSpacing/>
              <w:jc w:val="center"/>
              <w:textAlignment w:val="center"/>
              <w:rPr>
                <w:rFonts w:ascii="宋体" w:hAnsi="宋体" w:cs="宋体"/>
                <w:color w:val="000000"/>
                <w:kern w:val="0"/>
                <w:szCs w:val="21"/>
              </w:rPr>
            </w:pPr>
            <w:r>
              <w:rPr>
                <w:rFonts w:hint="eastAsia" w:ascii="宋体" w:hAnsi="宋体" w:cs="宋体"/>
                <w:color w:val="000000"/>
                <w:kern w:val="0"/>
                <w:szCs w:val="21"/>
              </w:rPr>
              <w:t>分值</w:t>
            </w:r>
            <w:r>
              <w:rPr>
                <w:rFonts w:ascii="宋体" w:hAnsi="宋体" w:cs="宋体"/>
                <w:color w:val="444444"/>
                <w:kern w:val="0"/>
                <w:szCs w:val="21"/>
              </w:rPr>
              <w:t xml:space="preserve"> </w:t>
            </w:r>
          </w:p>
        </w:tc>
        <w:tc>
          <w:tcPr>
            <w:tcW w:w="4394" w:type="dxa"/>
            <w:tcBorders>
              <w:top w:val="single" w:color="000000" w:sz="4" w:space="0"/>
              <w:left w:val="nil"/>
              <w:bottom w:val="single" w:color="000000" w:sz="4" w:space="0"/>
              <w:right w:val="single" w:color="000000" w:sz="4" w:space="0"/>
            </w:tcBorders>
            <w:shd w:val="clear" w:color="auto" w:fill="auto"/>
            <w:vAlign w:val="top"/>
          </w:tcPr>
          <w:p>
            <w:pPr>
              <w:widowControl/>
              <w:snapToGrid w:val="0"/>
              <w:spacing w:line="440" w:lineRule="exact"/>
              <w:contextualSpacing/>
              <w:jc w:val="center"/>
              <w:textAlignment w:val="center"/>
              <w:rPr>
                <w:rFonts w:ascii="宋体" w:hAnsi="宋体" w:cs="宋体"/>
                <w:color w:val="000000"/>
                <w:szCs w:val="21"/>
              </w:rPr>
            </w:pPr>
            <w:r>
              <w:rPr>
                <w:rFonts w:hint="eastAsia" w:ascii="宋体" w:hAnsi="宋体" w:cs="宋体"/>
                <w:color w:val="000000"/>
                <w:kern w:val="0"/>
                <w:szCs w:val="21"/>
              </w:rPr>
              <w:t>评分细则</w:t>
            </w:r>
            <w:r>
              <w:rPr>
                <w:rFonts w:ascii="宋体" w:hAnsi="宋体" w:cs="宋体"/>
                <w:color w:val="444444"/>
                <w:kern w:val="0"/>
                <w:szCs w:val="21"/>
              </w:rPr>
              <w:t xml:space="preserve"> </w:t>
            </w:r>
          </w:p>
        </w:tc>
        <w:tc>
          <w:tcPr>
            <w:tcW w:w="1134" w:type="dxa"/>
            <w:tcBorders>
              <w:top w:val="single" w:color="000000" w:sz="4" w:space="0"/>
              <w:left w:val="nil"/>
              <w:bottom w:val="single" w:color="000000" w:sz="4" w:space="0"/>
              <w:right w:val="single" w:color="000000" w:sz="4" w:space="0"/>
            </w:tcBorders>
            <w:shd w:val="clear" w:color="auto" w:fill="auto"/>
            <w:vAlign w:val="center"/>
          </w:tcPr>
          <w:p>
            <w:pPr>
              <w:widowControl/>
              <w:snapToGrid w:val="0"/>
              <w:spacing w:line="440" w:lineRule="exact"/>
              <w:contextualSpacing/>
              <w:jc w:val="center"/>
              <w:textAlignment w:val="center"/>
              <w:rPr>
                <w:rFonts w:ascii="宋体" w:hAnsi="宋体" w:cs="宋体"/>
                <w:color w:val="000000"/>
                <w:kern w:val="0"/>
                <w:szCs w:val="21"/>
              </w:rPr>
            </w:pPr>
            <w:r>
              <w:rPr>
                <w:rFonts w:hint="eastAsia" w:ascii="宋体" w:hAnsi="宋体" w:cs="宋体"/>
                <w:color w:val="000000"/>
                <w:kern w:val="0"/>
                <w:szCs w:val="21"/>
              </w:rPr>
              <w:t>得分</w:t>
            </w:r>
            <w:r>
              <w:rPr>
                <w:rFonts w:ascii="宋体" w:hAnsi="宋体" w:cs="宋体"/>
                <w:color w:val="444444"/>
                <w:kern w:val="0"/>
                <w:szCs w:val="21"/>
              </w:rPr>
              <w:t xml:space="preserve"> </w:t>
            </w:r>
          </w:p>
        </w:tc>
      </w:tr>
      <w:tr>
        <w:tblPrEx>
          <w:tblLayout w:type="fixed"/>
          <w:tblCellMar>
            <w:top w:w="15" w:type="dxa"/>
            <w:left w:w="15" w:type="dxa"/>
            <w:bottom w:w="15" w:type="dxa"/>
            <w:right w:w="15" w:type="dxa"/>
          </w:tblCellMar>
        </w:tblPrEx>
        <w:trPr>
          <w:trHeight w:val="5268" w:hRule="atLeast"/>
        </w:trPr>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contextualSpacing/>
              <w:jc w:val="center"/>
              <w:textAlignment w:val="center"/>
              <w:rPr>
                <w:rFonts w:ascii="宋体" w:hAnsi="宋体" w:cs="宋体"/>
                <w:color w:val="000000"/>
                <w:szCs w:val="21"/>
              </w:rPr>
            </w:pPr>
            <w:r>
              <w:rPr>
                <w:rFonts w:hint="eastAsia" w:ascii="宋体" w:hAnsi="宋体" w:cs="宋体"/>
                <w:color w:val="000000"/>
                <w:kern w:val="0"/>
                <w:szCs w:val="21"/>
              </w:rPr>
              <w:t>报价部分</w:t>
            </w:r>
            <w:r>
              <w:rPr>
                <w:rFonts w:ascii="宋体" w:hAnsi="宋体" w:cs="宋体"/>
                <w:color w:val="444444"/>
                <w:kern w:val="0"/>
                <w:szCs w:val="21"/>
              </w:rPr>
              <w:t xml:space="preserve"> </w:t>
            </w:r>
          </w:p>
        </w:tc>
        <w:tc>
          <w:tcPr>
            <w:tcW w:w="1985" w:type="dxa"/>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contextualSpacing/>
              <w:jc w:val="center"/>
              <w:textAlignment w:val="center"/>
              <w:rPr>
                <w:rFonts w:ascii="宋体" w:hAnsi="宋体" w:cs="宋体"/>
                <w:color w:val="000000"/>
                <w:kern w:val="0"/>
                <w:szCs w:val="21"/>
              </w:rPr>
            </w:pPr>
            <w:r>
              <w:rPr>
                <w:rFonts w:hint="eastAsia" w:ascii="宋体" w:hAnsi="宋体" w:cs="宋体"/>
                <w:color w:val="000000"/>
                <w:kern w:val="0"/>
                <w:szCs w:val="21"/>
              </w:rPr>
              <w:t>50分</w:t>
            </w:r>
            <w:r>
              <w:rPr>
                <w:rFonts w:ascii="宋体" w:hAnsi="宋体" w:cs="宋体"/>
                <w:color w:val="444444"/>
                <w:kern w:val="0"/>
                <w:szCs w:val="21"/>
              </w:rPr>
              <w:t xml:space="preserve"> </w:t>
            </w:r>
          </w:p>
        </w:tc>
        <w:tc>
          <w:tcPr>
            <w:tcW w:w="4394" w:type="dxa"/>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contextualSpacing/>
              <w:jc w:val="center"/>
              <w:textAlignment w:val="center"/>
              <w:rPr>
                <w:rFonts w:ascii="宋体" w:hAnsi="宋体" w:cs="宋体"/>
                <w:color w:val="000000"/>
                <w:szCs w:val="21"/>
              </w:rPr>
            </w:pPr>
            <w:r>
              <w:rPr>
                <w:rFonts w:hint="eastAsia" w:ascii="宋体" w:hAnsi="宋体" w:cs="宋体"/>
                <w:color w:val="000000"/>
                <w:szCs w:val="21"/>
              </w:rPr>
              <w:t>报价得分计算方法：以有效投标价格最低的投标报价为评标基准价，其价格分满分，其他投标人报价得分=（评标基准价/投标报价）*50</w:t>
            </w:r>
            <w:r>
              <w:rPr>
                <w:rFonts w:ascii="宋体" w:hAnsi="宋体" w:cs="宋体"/>
                <w:color w:val="444444"/>
                <w:kern w:val="0"/>
                <w:szCs w:val="21"/>
              </w:rPr>
              <w:t xml:space="preserve"> </w:t>
            </w:r>
          </w:p>
          <w:p>
            <w:pPr>
              <w:widowControl/>
              <w:spacing w:line="440" w:lineRule="exact"/>
              <w:contextualSpacing/>
              <w:jc w:val="center"/>
              <w:textAlignment w:val="center"/>
              <w:rPr>
                <w:rFonts w:ascii="宋体" w:hAnsi="宋体" w:cs="宋体"/>
                <w:color w:val="000000"/>
                <w:szCs w:val="21"/>
              </w:rPr>
            </w:pPr>
            <w:r>
              <w:rPr>
                <w:rFonts w:hint="eastAsia" w:ascii="宋体" w:hAnsi="宋体" w:cs="宋体"/>
                <w:color w:val="000000"/>
                <w:szCs w:val="21"/>
              </w:rPr>
              <w:t>（备注：根据财政部印发的财政部令87号 《政府采购货物和服务招投标管理办法》规定，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r>
              <w:rPr>
                <w:rFonts w:ascii="宋体" w:hAnsi="宋体" w:cs="宋体"/>
                <w:color w:val="444444"/>
                <w:kern w:val="0"/>
                <w:szCs w:val="21"/>
              </w:rPr>
              <w:t xml:space="preserve"> </w:t>
            </w:r>
          </w:p>
        </w:tc>
        <w:tc>
          <w:tcPr>
            <w:tcW w:w="1134" w:type="dxa"/>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contextualSpacing/>
              <w:jc w:val="center"/>
              <w:textAlignment w:val="center"/>
              <w:rPr>
                <w:rFonts w:ascii="宋体" w:hAnsi="宋体" w:cs="宋体"/>
                <w:color w:val="000000"/>
                <w:szCs w:val="21"/>
              </w:rPr>
            </w:pPr>
          </w:p>
        </w:tc>
      </w:tr>
      <w:tr>
        <w:tblPrEx>
          <w:tblLayout w:type="fixed"/>
          <w:tblCellMar>
            <w:top w:w="15" w:type="dxa"/>
            <w:left w:w="15" w:type="dxa"/>
            <w:bottom w:w="15" w:type="dxa"/>
            <w:right w:w="15" w:type="dxa"/>
          </w:tblCellMar>
        </w:tblPrEx>
        <w:trPr>
          <w:trHeight w:val="735" w:hRule="atLeast"/>
        </w:trPr>
        <w:tc>
          <w:tcPr>
            <w:tcW w:w="2127" w:type="dxa"/>
            <w:vMerge w:val="restart"/>
            <w:tcBorders>
              <w:top w:val="nil"/>
              <w:left w:val="single" w:color="000000" w:sz="4" w:space="0"/>
              <w:bottom w:val="nil"/>
              <w:right w:val="single" w:color="000000" w:sz="4" w:space="0"/>
            </w:tcBorders>
            <w:shd w:val="clear" w:color="auto" w:fill="auto"/>
            <w:vAlign w:val="center"/>
          </w:tcPr>
          <w:p>
            <w:pPr>
              <w:widowControl/>
              <w:spacing w:line="440" w:lineRule="exact"/>
              <w:contextualSpacing/>
              <w:jc w:val="center"/>
              <w:textAlignment w:val="center"/>
              <w:rPr>
                <w:rFonts w:ascii="宋体" w:hAnsi="宋体" w:cs="宋体"/>
                <w:color w:val="000000"/>
                <w:szCs w:val="21"/>
              </w:rPr>
            </w:pPr>
            <w:r>
              <w:rPr>
                <w:rFonts w:hint="eastAsia" w:ascii="宋体" w:hAnsi="宋体" w:cs="宋体"/>
                <w:color w:val="000000"/>
                <w:szCs w:val="21"/>
              </w:rPr>
              <w:t>技术部分</w:t>
            </w:r>
            <w:r>
              <w:rPr>
                <w:rFonts w:ascii="宋体" w:hAnsi="宋体" w:cs="宋体"/>
                <w:color w:val="444444"/>
                <w:kern w:val="0"/>
                <w:szCs w:val="21"/>
              </w:rPr>
              <w:t xml:space="preserve"> </w:t>
            </w:r>
          </w:p>
        </w:tc>
        <w:tc>
          <w:tcPr>
            <w:tcW w:w="1985" w:type="dxa"/>
            <w:vMerge w:val="restart"/>
            <w:tcBorders>
              <w:top w:val="nil"/>
              <w:left w:val="nil"/>
              <w:bottom w:val="nil"/>
              <w:right w:val="single" w:color="000000" w:sz="4" w:space="0"/>
            </w:tcBorders>
            <w:shd w:val="clear" w:color="auto" w:fill="auto"/>
            <w:vAlign w:val="center"/>
          </w:tcPr>
          <w:p>
            <w:pPr>
              <w:widowControl/>
              <w:spacing w:line="440" w:lineRule="exact"/>
              <w:contextualSpacing/>
              <w:jc w:val="center"/>
              <w:textAlignment w:val="center"/>
              <w:rPr>
                <w:rFonts w:ascii="宋体" w:hAnsi="宋体" w:cs="宋体"/>
                <w:color w:val="000000"/>
                <w:kern w:val="0"/>
                <w:szCs w:val="21"/>
              </w:rPr>
            </w:pPr>
            <w:r>
              <w:rPr>
                <w:rFonts w:hint="eastAsia" w:ascii="宋体" w:hAnsi="宋体" w:cs="宋体"/>
                <w:color w:val="000000"/>
                <w:kern w:val="0"/>
                <w:szCs w:val="21"/>
              </w:rPr>
              <w:t>50分</w:t>
            </w:r>
            <w:r>
              <w:rPr>
                <w:rFonts w:ascii="宋体" w:hAnsi="宋体" w:cs="宋体"/>
                <w:color w:val="444444"/>
                <w:kern w:val="0"/>
                <w:szCs w:val="21"/>
              </w:rPr>
              <w:t xml:space="preserve"> </w:t>
            </w:r>
          </w:p>
        </w:tc>
        <w:tc>
          <w:tcPr>
            <w:tcW w:w="4394" w:type="dxa"/>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contextualSpacing/>
              <w:jc w:val="center"/>
              <w:textAlignment w:val="center"/>
              <w:rPr>
                <w:rFonts w:ascii="宋体" w:hAnsi="宋体" w:cs="宋体"/>
                <w:color w:val="000000"/>
                <w:szCs w:val="21"/>
              </w:rPr>
            </w:pPr>
            <w:r>
              <w:rPr>
                <w:rFonts w:hint="eastAsia" w:ascii="宋体" w:hAnsi="宋体"/>
                <w:color w:val="000000"/>
                <w:spacing w:val="20"/>
                <w:szCs w:val="21"/>
              </w:rPr>
              <w:t>氛围布置设计方案</w:t>
            </w:r>
            <w:r>
              <w:rPr>
                <w:rFonts w:hint="eastAsia" w:ascii="宋体" w:hAnsi="宋体" w:cs="宋体"/>
                <w:color w:val="000000"/>
                <w:szCs w:val="21"/>
              </w:rPr>
              <w:t>主题突出（得分1-10分）</w:t>
            </w:r>
            <w:r>
              <w:rPr>
                <w:rFonts w:ascii="宋体" w:hAnsi="宋体" w:cs="宋体"/>
                <w:color w:val="444444"/>
                <w:kern w:val="0"/>
                <w:szCs w:val="21"/>
              </w:rPr>
              <w:t xml:space="preserve"> </w:t>
            </w:r>
          </w:p>
        </w:tc>
        <w:tc>
          <w:tcPr>
            <w:tcW w:w="1134" w:type="dxa"/>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contextualSpacing/>
              <w:jc w:val="center"/>
              <w:textAlignment w:val="center"/>
              <w:rPr>
                <w:rFonts w:ascii="宋体" w:hAnsi="宋体" w:cs="宋体"/>
                <w:color w:val="000000"/>
                <w:szCs w:val="21"/>
              </w:rPr>
            </w:pPr>
          </w:p>
        </w:tc>
      </w:tr>
      <w:tr>
        <w:tblPrEx>
          <w:tblLayout w:type="fixed"/>
          <w:tblCellMar>
            <w:top w:w="15" w:type="dxa"/>
            <w:left w:w="15" w:type="dxa"/>
            <w:bottom w:w="15" w:type="dxa"/>
            <w:right w:w="15" w:type="dxa"/>
          </w:tblCellMar>
        </w:tblPrEx>
        <w:trPr>
          <w:trHeight w:val="735" w:hRule="atLeast"/>
        </w:trPr>
        <w:tc>
          <w:tcPr>
            <w:tcW w:w="2127" w:type="dxa"/>
            <w:vMerge w:val="continue"/>
            <w:tcBorders>
              <w:top w:val="nil"/>
              <w:left w:val="single" w:color="000000" w:sz="4" w:space="0"/>
              <w:bottom w:val="nil"/>
              <w:right w:val="single" w:color="000000" w:sz="4" w:space="0"/>
            </w:tcBorders>
            <w:shd w:val="clear" w:color="auto" w:fill="auto"/>
            <w:vAlign w:val="center"/>
          </w:tcPr>
          <w:p>
            <w:pPr>
              <w:widowControl/>
              <w:jc w:val="left"/>
              <w:rPr>
                <w:rFonts w:ascii="宋体" w:hAnsi="宋体" w:cs="宋体"/>
                <w:color w:val="000000"/>
                <w:szCs w:val="21"/>
              </w:rPr>
            </w:pPr>
          </w:p>
        </w:tc>
        <w:tc>
          <w:tcPr>
            <w:tcW w:w="1985" w:type="dxa"/>
            <w:vMerge w:val="continue"/>
            <w:tcBorders>
              <w:top w:val="nil"/>
              <w:left w:val="nil"/>
              <w:bottom w:val="nil"/>
              <w:right w:val="single" w:color="000000" w:sz="4" w:space="0"/>
            </w:tcBorders>
            <w:shd w:val="clear" w:color="auto" w:fill="auto"/>
            <w:vAlign w:val="center"/>
          </w:tcPr>
          <w:p>
            <w:pPr>
              <w:widowControl/>
              <w:jc w:val="left"/>
              <w:rPr>
                <w:rFonts w:ascii="宋体" w:hAnsi="宋体" w:cs="宋体"/>
                <w:color w:val="000000"/>
                <w:kern w:val="0"/>
                <w:szCs w:val="21"/>
              </w:rPr>
            </w:pPr>
          </w:p>
        </w:tc>
        <w:tc>
          <w:tcPr>
            <w:tcW w:w="4394" w:type="dxa"/>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contextualSpacing/>
              <w:jc w:val="center"/>
              <w:textAlignment w:val="center"/>
              <w:rPr>
                <w:rFonts w:ascii="宋体" w:hAnsi="宋体" w:cs="宋体"/>
                <w:color w:val="000000"/>
                <w:szCs w:val="21"/>
              </w:rPr>
            </w:pPr>
            <w:r>
              <w:rPr>
                <w:rFonts w:hint="eastAsia" w:ascii="宋体" w:hAnsi="宋体"/>
                <w:color w:val="000000"/>
                <w:spacing w:val="20"/>
                <w:szCs w:val="21"/>
              </w:rPr>
              <w:t>氛围布置设计方案</w:t>
            </w:r>
            <w:r>
              <w:rPr>
                <w:rFonts w:hint="eastAsia" w:ascii="宋体" w:hAnsi="宋体" w:cs="宋体"/>
                <w:color w:val="000000"/>
                <w:szCs w:val="21"/>
              </w:rPr>
              <w:t>结合矿博园的特色，有创新并展现浓厚的节日氛围（得分1-10分）</w:t>
            </w:r>
            <w:r>
              <w:rPr>
                <w:rFonts w:ascii="宋体" w:hAnsi="宋体" w:cs="宋体"/>
                <w:color w:val="444444"/>
                <w:kern w:val="0"/>
                <w:szCs w:val="21"/>
              </w:rPr>
              <w:t xml:space="preserve"> </w:t>
            </w:r>
          </w:p>
        </w:tc>
        <w:tc>
          <w:tcPr>
            <w:tcW w:w="1134" w:type="dxa"/>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contextualSpacing/>
              <w:jc w:val="center"/>
              <w:textAlignment w:val="center"/>
              <w:rPr>
                <w:rFonts w:ascii="宋体" w:hAnsi="宋体" w:cs="宋体"/>
                <w:color w:val="000000"/>
                <w:szCs w:val="21"/>
              </w:rPr>
            </w:pPr>
          </w:p>
        </w:tc>
      </w:tr>
      <w:tr>
        <w:tblPrEx>
          <w:tblLayout w:type="fixed"/>
          <w:tblCellMar>
            <w:top w:w="15" w:type="dxa"/>
            <w:left w:w="15" w:type="dxa"/>
            <w:bottom w:w="15" w:type="dxa"/>
            <w:right w:w="15" w:type="dxa"/>
          </w:tblCellMar>
        </w:tblPrEx>
        <w:trPr>
          <w:trHeight w:val="690" w:hRule="atLeast"/>
        </w:trPr>
        <w:tc>
          <w:tcPr>
            <w:tcW w:w="2127" w:type="dxa"/>
            <w:vMerge w:val="continue"/>
            <w:tcBorders>
              <w:top w:val="nil"/>
              <w:left w:val="single" w:color="000000" w:sz="4" w:space="0"/>
              <w:bottom w:val="nil"/>
              <w:right w:val="single" w:color="000000" w:sz="4" w:space="0"/>
            </w:tcBorders>
            <w:shd w:val="clear" w:color="auto" w:fill="auto"/>
            <w:vAlign w:val="center"/>
          </w:tcPr>
          <w:p>
            <w:pPr>
              <w:widowControl/>
              <w:jc w:val="left"/>
              <w:rPr>
                <w:rFonts w:ascii="宋体" w:hAnsi="宋体" w:cs="宋体"/>
                <w:color w:val="000000"/>
                <w:szCs w:val="21"/>
              </w:rPr>
            </w:pPr>
          </w:p>
        </w:tc>
        <w:tc>
          <w:tcPr>
            <w:tcW w:w="1985" w:type="dxa"/>
            <w:vMerge w:val="continue"/>
            <w:tcBorders>
              <w:top w:val="nil"/>
              <w:left w:val="nil"/>
              <w:bottom w:val="nil"/>
              <w:right w:val="single" w:color="000000" w:sz="4" w:space="0"/>
            </w:tcBorders>
            <w:shd w:val="clear" w:color="auto" w:fill="auto"/>
            <w:vAlign w:val="center"/>
          </w:tcPr>
          <w:p>
            <w:pPr>
              <w:widowControl/>
              <w:jc w:val="left"/>
              <w:rPr>
                <w:rFonts w:ascii="宋体" w:hAnsi="宋体" w:cs="宋体"/>
                <w:color w:val="000000"/>
                <w:kern w:val="0"/>
                <w:szCs w:val="21"/>
              </w:rPr>
            </w:pPr>
          </w:p>
        </w:tc>
        <w:tc>
          <w:tcPr>
            <w:tcW w:w="4394" w:type="dxa"/>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contextualSpacing/>
              <w:jc w:val="center"/>
              <w:textAlignment w:val="center"/>
              <w:rPr>
                <w:rFonts w:ascii="宋体" w:hAnsi="宋体" w:cs="宋体"/>
                <w:color w:val="000000"/>
                <w:szCs w:val="21"/>
              </w:rPr>
            </w:pPr>
            <w:r>
              <w:rPr>
                <w:rFonts w:hint="eastAsia" w:ascii="宋体" w:hAnsi="宋体"/>
                <w:color w:val="000000"/>
                <w:spacing w:val="20"/>
                <w:szCs w:val="21"/>
              </w:rPr>
              <w:t>氛围布置设计</w:t>
            </w:r>
            <w:r>
              <w:rPr>
                <w:rFonts w:hint="eastAsia" w:ascii="宋体" w:hAnsi="宋体" w:cs="宋体"/>
                <w:color w:val="000000"/>
                <w:szCs w:val="21"/>
              </w:rPr>
              <w:t>方案新颖、科学合理（得分1-10分）</w:t>
            </w:r>
            <w:r>
              <w:rPr>
                <w:rFonts w:ascii="宋体" w:hAnsi="宋体" w:cs="宋体"/>
                <w:color w:val="444444"/>
                <w:kern w:val="0"/>
                <w:szCs w:val="21"/>
              </w:rPr>
              <w:t xml:space="preserve"> </w:t>
            </w:r>
          </w:p>
        </w:tc>
        <w:tc>
          <w:tcPr>
            <w:tcW w:w="1134" w:type="dxa"/>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contextualSpacing/>
              <w:jc w:val="center"/>
              <w:textAlignment w:val="center"/>
              <w:rPr>
                <w:rFonts w:ascii="宋体" w:hAnsi="宋体" w:cs="宋体"/>
                <w:color w:val="000000"/>
                <w:szCs w:val="21"/>
              </w:rPr>
            </w:pPr>
          </w:p>
        </w:tc>
      </w:tr>
      <w:tr>
        <w:tblPrEx>
          <w:tblLayout w:type="fixed"/>
          <w:tblCellMar>
            <w:top w:w="15" w:type="dxa"/>
            <w:left w:w="15" w:type="dxa"/>
            <w:bottom w:w="15" w:type="dxa"/>
            <w:right w:w="15" w:type="dxa"/>
          </w:tblCellMar>
        </w:tblPrEx>
        <w:trPr>
          <w:trHeight w:val="690" w:hRule="atLeast"/>
        </w:trPr>
        <w:tc>
          <w:tcPr>
            <w:tcW w:w="2127" w:type="dxa"/>
            <w:vMerge w:val="continue"/>
            <w:tcBorders>
              <w:top w:val="nil"/>
              <w:left w:val="single" w:color="000000" w:sz="4" w:space="0"/>
              <w:bottom w:val="nil"/>
              <w:right w:val="single" w:color="000000" w:sz="4" w:space="0"/>
            </w:tcBorders>
            <w:shd w:val="clear" w:color="auto" w:fill="auto"/>
            <w:vAlign w:val="center"/>
          </w:tcPr>
          <w:p>
            <w:pPr>
              <w:widowControl/>
              <w:jc w:val="left"/>
              <w:rPr>
                <w:rFonts w:ascii="宋体" w:hAnsi="宋体" w:cs="宋体"/>
                <w:color w:val="000000"/>
                <w:szCs w:val="21"/>
              </w:rPr>
            </w:pPr>
          </w:p>
        </w:tc>
        <w:tc>
          <w:tcPr>
            <w:tcW w:w="1985" w:type="dxa"/>
            <w:vMerge w:val="continue"/>
            <w:tcBorders>
              <w:top w:val="nil"/>
              <w:left w:val="nil"/>
              <w:bottom w:val="nil"/>
              <w:right w:val="single" w:color="000000" w:sz="4" w:space="0"/>
            </w:tcBorders>
            <w:shd w:val="clear" w:color="auto" w:fill="auto"/>
            <w:vAlign w:val="center"/>
          </w:tcPr>
          <w:p>
            <w:pPr>
              <w:widowControl/>
              <w:jc w:val="left"/>
              <w:rPr>
                <w:rFonts w:ascii="宋体" w:hAnsi="宋体" w:cs="宋体"/>
                <w:color w:val="000000"/>
                <w:kern w:val="0"/>
                <w:szCs w:val="21"/>
              </w:rPr>
            </w:pPr>
          </w:p>
        </w:tc>
        <w:tc>
          <w:tcPr>
            <w:tcW w:w="4394" w:type="dxa"/>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contextualSpacing/>
              <w:jc w:val="center"/>
              <w:textAlignment w:val="center"/>
              <w:rPr>
                <w:rFonts w:ascii="宋体" w:hAnsi="宋体"/>
                <w:color w:val="000000"/>
                <w:spacing w:val="20"/>
                <w:szCs w:val="21"/>
              </w:rPr>
            </w:pPr>
            <w:r>
              <w:rPr>
                <w:rFonts w:hint="eastAsia" w:ascii="宋体" w:hAnsi="宋体"/>
                <w:color w:val="000000"/>
                <w:spacing w:val="20"/>
                <w:szCs w:val="21"/>
              </w:rPr>
              <w:t>氛围布置效果图直观、清晰、具有美感</w:t>
            </w:r>
            <w:r>
              <w:rPr>
                <w:rFonts w:hint="eastAsia" w:ascii="宋体" w:hAnsi="宋体" w:cs="宋体"/>
                <w:color w:val="000000"/>
                <w:szCs w:val="21"/>
              </w:rPr>
              <w:t>（得分1-5分）</w:t>
            </w:r>
            <w:r>
              <w:rPr>
                <w:rFonts w:ascii="宋体" w:hAnsi="宋体" w:cs="宋体"/>
                <w:color w:val="444444"/>
                <w:kern w:val="0"/>
                <w:szCs w:val="21"/>
              </w:rPr>
              <w:t xml:space="preserve"> </w:t>
            </w:r>
          </w:p>
        </w:tc>
        <w:tc>
          <w:tcPr>
            <w:tcW w:w="1134" w:type="dxa"/>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contextualSpacing/>
              <w:jc w:val="center"/>
              <w:textAlignment w:val="center"/>
              <w:rPr>
                <w:rFonts w:ascii="宋体" w:hAnsi="宋体" w:cs="宋体"/>
                <w:color w:val="000000"/>
                <w:szCs w:val="21"/>
              </w:rPr>
            </w:pPr>
          </w:p>
        </w:tc>
      </w:tr>
      <w:tr>
        <w:tblPrEx>
          <w:tblLayout w:type="fixed"/>
          <w:tblCellMar>
            <w:top w:w="15" w:type="dxa"/>
            <w:left w:w="15" w:type="dxa"/>
            <w:bottom w:w="15" w:type="dxa"/>
            <w:right w:w="15" w:type="dxa"/>
          </w:tblCellMar>
        </w:tblPrEx>
        <w:trPr>
          <w:trHeight w:val="750" w:hRule="atLeast"/>
        </w:trPr>
        <w:tc>
          <w:tcPr>
            <w:tcW w:w="2127" w:type="dxa"/>
            <w:vMerge w:val="continue"/>
            <w:tcBorders>
              <w:top w:val="nil"/>
              <w:left w:val="single" w:color="000000" w:sz="4" w:space="0"/>
              <w:bottom w:val="nil"/>
              <w:right w:val="single" w:color="000000" w:sz="4" w:space="0"/>
            </w:tcBorders>
            <w:shd w:val="clear" w:color="auto" w:fill="auto"/>
            <w:vAlign w:val="center"/>
          </w:tcPr>
          <w:p>
            <w:pPr>
              <w:widowControl/>
              <w:jc w:val="left"/>
              <w:rPr>
                <w:rFonts w:ascii="宋体" w:hAnsi="宋体" w:cs="宋体"/>
                <w:color w:val="000000"/>
                <w:szCs w:val="21"/>
              </w:rPr>
            </w:pPr>
          </w:p>
        </w:tc>
        <w:tc>
          <w:tcPr>
            <w:tcW w:w="1985" w:type="dxa"/>
            <w:vMerge w:val="continue"/>
            <w:tcBorders>
              <w:top w:val="nil"/>
              <w:left w:val="nil"/>
              <w:bottom w:val="nil"/>
              <w:right w:val="single" w:color="000000" w:sz="4" w:space="0"/>
            </w:tcBorders>
            <w:shd w:val="clear" w:color="auto" w:fill="auto"/>
            <w:vAlign w:val="center"/>
          </w:tcPr>
          <w:p>
            <w:pPr>
              <w:widowControl/>
              <w:jc w:val="left"/>
              <w:rPr>
                <w:rFonts w:ascii="宋体" w:hAnsi="宋体" w:cs="宋体"/>
                <w:color w:val="000000"/>
                <w:kern w:val="0"/>
                <w:szCs w:val="21"/>
              </w:rPr>
            </w:pPr>
          </w:p>
        </w:tc>
        <w:tc>
          <w:tcPr>
            <w:tcW w:w="4394" w:type="dxa"/>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contextualSpacing/>
              <w:jc w:val="center"/>
              <w:textAlignment w:val="center"/>
              <w:rPr>
                <w:rFonts w:ascii="宋体" w:hAnsi="宋体" w:cs="宋体"/>
                <w:color w:val="000000"/>
                <w:szCs w:val="21"/>
              </w:rPr>
            </w:pPr>
            <w:r>
              <w:rPr>
                <w:rFonts w:hint="eastAsia" w:ascii="宋体" w:hAnsi="宋体" w:cs="宋体"/>
                <w:color w:val="000000"/>
                <w:szCs w:val="21"/>
              </w:rPr>
              <w:t>有承诺书承诺按时交货、完工（得分10分）</w:t>
            </w:r>
            <w:r>
              <w:rPr>
                <w:rFonts w:ascii="宋体" w:hAnsi="宋体" w:cs="宋体"/>
                <w:color w:val="444444"/>
                <w:kern w:val="0"/>
                <w:szCs w:val="21"/>
              </w:rPr>
              <w:t xml:space="preserve"> </w:t>
            </w:r>
          </w:p>
        </w:tc>
        <w:tc>
          <w:tcPr>
            <w:tcW w:w="1134" w:type="dxa"/>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contextualSpacing/>
              <w:jc w:val="center"/>
              <w:textAlignment w:val="center"/>
              <w:rPr>
                <w:rFonts w:ascii="宋体" w:hAnsi="宋体" w:cs="宋体"/>
                <w:color w:val="000000"/>
                <w:szCs w:val="21"/>
              </w:rPr>
            </w:pPr>
          </w:p>
        </w:tc>
      </w:tr>
      <w:tr>
        <w:tblPrEx>
          <w:tblLayout w:type="fixed"/>
          <w:tblCellMar>
            <w:top w:w="15" w:type="dxa"/>
            <w:left w:w="15" w:type="dxa"/>
            <w:bottom w:w="15" w:type="dxa"/>
            <w:right w:w="15" w:type="dxa"/>
          </w:tblCellMar>
        </w:tblPrEx>
        <w:trPr>
          <w:trHeight w:val="750" w:hRule="atLeast"/>
        </w:trPr>
        <w:tc>
          <w:tcPr>
            <w:tcW w:w="2127" w:type="dxa"/>
            <w:vMerge w:val="continue"/>
            <w:tcBorders>
              <w:top w:val="nil"/>
              <w:left w:val="single" w:color="000000" w:sz="4" w:space="0"/>
              <w:bottom w:val="nil"/>
              <w:right w:val="single" w:color="000000" w:sz="4" w:space="0"/>
            </w:tcBorders>
            <w:shd w:val="clear" w:color="auto" w:fill="auto"/>
            <w:vAlign w:val="center"/>
          </w:tcPr>
          <w:p>
            <w:pPr>
              <w:widowControl/>
              <w:jc w:val="left"/>
              <w:rPr>
                <w:rFonts w:ascii="宋体" w:hAnsi="宋体" w:cs="宋体"/>
                <w:color w:val="000000"/>
                <w:szCs w:val="21"/>
              </w:rPr>
            </w:pPr>
          </w:p>
        </w:tc>
        <w:tc>
          <w:tcPr>
            <w:tcW w:w="1985" w:type="dxa"/>
            <w:vMerge w:val="continue"/>
            <w:tcBorders>
              <w:top w:val="nil"/>
              <w:left w:val="nil"/>
              <w:bottom w:val="nil"/>
              <w:right w:val="single" w:color="000000" w:sz="4" w:space="0"/>
            </w:tcBorders>
            <w:shd w:val="clear" w:color="auto" w:fill="auto"/>
            <w:vAlign w:val="center"/>
          </w:tcPr>
          <w:p>
            <w:pPr>
              <w:widowControl/>
              <w:jc w:val="left"/>
              <w:rPr>
                <w:rFonts w:ascii="宋体" w:hAnsi="宋体" w:cs="宋体"/>
                <w:color w:val="000000"/>
                <w:kern w:val="0"/>
                <w:szCs w:val="21"/>
              </w:rPr>
            </w:pPr>
          </w:p>
        </w:tc>
        <w:tc>
          <w:tcPr>
            <w:tcW w:w="4394" w:type="dxa"/>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contextualSpacing/>
              <w:jc w:val="center"/>
              <w:textAlignment w:val="center"/>
              <w:rPr>
                <w:rFonts w:ascii="宋体" w:hAnsi="宋体" w:cs="宋体"/>
                <w:color w:val="000000"/>
                <w:szCs w:val="21"/>
              </w:rPr>
            </w:pPr>
            <w:r>
              <w:rPr>
                <w:rFonts w:hint="eastAsia" w:ascii="宋体" w:hAnsi="宋体" w:cs="宋体"/>
                <w:color w:val="000000"/>
                <w:szCs w:val="21"/>
              </w:rPr>
              <w:t>售后保障完善（得分1-5分）</w:t>
            </w:r>
            <w:r>
              <w:rPr>
                <w:rFonts w:ascii="宋体" w:hAnsi="宋体" w:cs="宋体"/>
                <w:color w:val="444444"/>
                <w:kern w:val="0"/>
                <w:szCs w:val="21"/>
              </w:rPr>
              <w:t xml:space="preserve"> </w:t>
            </w:r>
          </w:p>
        </w:tc>
        <w:tc>
          <w:tcPr>
            <w:tcW w:w="1134" w:type="dxa"/>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contextualSpacing/>
              <w:jc w:val="center"/>
              <w:textAlignment w:val="center"/>
              <w:rPr>
                <w:rFonts w:ascii="宋体" w:hAnsi="宋体" w:cs="宋体"/>
                <w:color w:val="000000"/>
                <w:kern w:val="0"/>
                <w:szCs w:val="21"/>
              </w:rPr>
            </w:pPr>
          </w:p>
        </w:tc>
      </w:tr>
      <w:tr>
        <w:tblPrEx>
          <w:tblLayout w:type="fixed"/>
          <w:tblCellMar>
            <w:top w:w="15" w:type="dxa"/>
            <w:left w:w="15" w:type="dxa"/>
            <w:bottom w:w="15" w:type="dxa"/>
            <w:right w:w="15" w:type="dxa"/>
          </w:tblCellMar>
        </w:tblPrEx>
        <w:trPr>
          <w:trHeight w:val="750" w:hRule="atLeast"/>
        </w:trPr>
        <w:tc>
          <w:tcPr>
            <w:tcW w:w="850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contextualSpacing/>
              <w:jc w:val="center"/>
              <w:textAlignment w:val="center"/>
              <w:rPr>
                <w:rFonts w:ascii="宋体" w:hAnsi="宋体" w:cs="宋体"/>
                <w:color w:val="000000"/>
                <w:kern w:val="0"/>
                <w:szCs w:val="21"/>
              </w:rPr>
            </w:pPr>
            <w:r>
              <w:rPr>
                <w:rFonts w:hint="eastAsia" w:ascii="宋体" w:hAnsi="宋体" w:cs="宋体"/>
                <w:color w:val="000000"/>
                <w:kern w:val="0"/>
                <w:szCs w:val="21"/>
              </w:rPr>
              <w:t>总得分</w:t>
            </w:r>
            <w:r>
              <w:rPr>
                <w:rFonts w:ascii="宋体" w:hAnsi="宋体" w:cs="宋体"/>
                <w:color w:val="444444"/>
                <w:kern w:val="0"/>
                <w:szCs w:val="21"/>
              </w:rPr>
              <w:t xml:space="preserve"> </w:t>
            </w:r>
          </w:p>
        </w:tc>
        <w:tc>
          <w:tcPr>
            <w:tcW w:w="1134" w:type="dxa"/>
            <w:vAlign w:val="center"/>
          </w:tcPr>
          <w:p>
            <w:pPr>
              <w:widowControl/>
              <w:jc w:val="left"/>
              <w:rPr>
                <w:rFonts w:ascii="Times New Roman" w:hAnsi="Times New Roman" w:eastAsia="Times New Roman"/>
                <w:kern w:val="0"/>
                <w:sz w:val="20"/>
                <w:szCs w:val="20"/>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3762B7"/>
    <w:rsid w:val="063762B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2018-02-08T09:17:00Z</dcterms:created>
  <dc:creator>暖暖1390478088</dc:creator>
  <cp:lastModifiedBy>暖暖1390478088</cp:lastModifiedBy>
  <dcterms:modified xsi:type="dcterms:W3CDTF">2018-02-08T09:18:19Z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